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4344" w14:textId="0E64D250" w:rsidR="00F1508A" w:rsidRDefault="0051541D" w:rsidP="0051541D">
      <w:pPr>
        <w:pStyle w:val="Bezproreda"/>
      </w:pPr>
      <w:r>
        <w:t xml:space="preserve">OSNOVNA ŠKOLA </w:t>
      </w:r>
      <w:r w:rsidR="000A19C6">
        <w:t>KRAPINSKE TOPLICE</w:t>
      </w:r>
    </w:p>
    <w:p w14:paraId="22735C26" w14:textId="52397D07" w:rsidR="0051541D" w:rsidRDefault="000A19C6" w:rsidP="0051541D">
      <w:pPr>
        <w:pStyle w:val="Bezproreda"/>
      </w:pPr>
      <w:r>
        <w:t>ZAGREBAČKA</w:t>
      </w:r>
      <w:r w:rsidR="0051541D">
        <w:t xml:space="preserve"> 1</w:t>
      </w:r>
      <w:r>
        <w:t>2</w:t>
      </w:r>
      <w:r w:rsidR="0051541D">
        <w:t>, 49</w:t>
      </w:r>
      <w:r>
        <w:t>217</w:t>
      </w:r>
      <w:r w:rsidR="0051541D">
        <w:t xml:space="preserve"> KRAPIN</w:t>
      </w:r>
      <w:r>
        <w:t>SKE TOPLICE</w:t>
      </w:r>
    </w:p>
    <w:p w14:paraId="3EA2EC7B" w14:textId="53892E1B" w:rsidR="0051541D" w:rsidRDefault="0051541D" w:rsidP="0051541D">
      <w:pPr>
        <w:pStyle w:val="Bezproreda"/>
      </w:pPr>
      <w:r>
        <w:t>OIB:</w:t>
      </w:r>
      <w:r w:rsidR="00203E91">
        <w:t xml:space="preserve"> </w:t>
      </w:r>
      <w:r w:rsidR="000A19C6">
        <w:t>46106875125</w:t>
      </w:r>
    </w:p>
    <w:p w14:paraId="0B56F9E3" w14:textId="42F3C23D" w:rsidR="0051541D" w:rsidRDefault="0051541D" w:rsidP="0051541D">
      <w:pPr>
        <w:pStyle w:val="Bezproreda"/>
      </w:pPr>
      <w:r>
        <w:t>MB: 030</w:t>
      </w:r>
      <w:r w:rsidR="000A19C6">
        <w:t>16374</w:t>
      </w:r>
    </w:p>
    <w:p w14:paraId="22BD2CB8" w14:textId="646532EE" w:rsidR="0051541D" w:rsidRDefault="0051541D" w:rsidP="0051541D">
      <w:pPr>
        <w:pStyle w:val="Bezproreda"/>
      </w:pPr>
      <w:r>
        <w:t>Šifra škole: 02-</w:t>
      </w:r>
      <w:r w:rsidR="000A19C6">
        <w:t>178</w:t>
      </w:r>
      <w:r>
        <w:t>-00</w:t>
      </w:r>
      <w:r w:rsidR="000A19C6">
        <w:t>1</w:t>
      </w:r>
    </w:p>
    <w:p w14:paraId="4E694B9C" w14:textId="43F95FCD" w:rsidR="0051541D" w:rsidRDefault="0051541D" w:rsidP="0051541D">
      <w:pPr>
        <w:pStyle w:val="Bezproreda"/>
      </w:pPr>
      <w:r>
        <w:t>RKDP: 1</w:t>
      </w:r>
      <w:r w:rsidR="000A19C6">
        <w:t>6019</w:t>
      </w:r>
    </w:p>
    <w:p w14:paraId="3886856D" w14:textId="5A2A0B55" w:rsidR="0051541D" w:rsidRDefault="0051541D" w:rsidP="0051541D">
      <w:pPr>
        <w:pStyle w:val="Bezproreda"/>
      </w:pPr>
      <w:r>
        <w:t xml:space="preserve">E-mail: </w:t>
      </w:r>
      <w:hyperlink r:id="rId8" w:history="1">
        <w:r w:rsidR="000A19C6" w:rsidRPr="00177937">
          <w:rPr>
            <w:rStyle w:val="Hiperveza"/>
          </w:rPr>
          <w:t>ured@os-krapinske-toplice.skole.hr</w:t>
        </w:r>
      </w:hyperlink>
    </w:p>
    <w:p w14:paraId="1BB973B4" w14:textId="712AA5E6" w:rsidR="0051541D" w:rsidRDefault="0051541D" w:rsidP="0051541D">
      <w:pPr>
        <w:pStyle w:val="Bezproreda"/>
      </w:pPr>
      <w:r>
        <w:t>Telefon: 049/</w:t>
      </w:r>
      <w:r w:rsidR="000A19C6">
        <w:t>232-160</w:t>
      </w:r>
    </w:p>
    <w:p w14:paraId="34987059" w14:textId="0082CE23" w:rsidR="0051541D" w:rsidRDefault="0051541D" w:rsidP="0051541D">
      <w:pPr>
        <w:pStyle w:val="Bezproreda"/>
      </w:pPr>
      <w:r>
        <w:t>KLASA:</w:t>
      </w:r>
      <w:r w:rsidR="00A9623B">
        <w:t xml:space="preserve"> </w:t>
      </w:r>
      <w:r w:rsidR="00923E3D">
        <w:t>400-01/24-01/1</w:t>
      </w:r>
    </w:p>
    <w:p w14:paraId="571AC366" w14:textId="6C2FA505" w:rsidR="0051541D" w:rsidRDefault="0051541D" w:rsidP="0051541D">
      <w:pPr>
        <w:pStyle w:val="Bezproreda"/>
      </w:pPr>
      <w:r>
        <w:t>URBROJ:</w:t>
      </w:r>
      <w:r w:rsidR="00A9623B">
        <w:t xml:space="preserve"> </w:t>
      </w:r>
      <w:r w:rsidR="00923E3D">
        <w:t>2140-96-01-24-7</w:t>
      </w:r>
    </w:p>
    <w:p w14:paraId="38C6FB51" w14:textId="77777777" w:rsidR="0051541D" w:rsidRDefault="0051541D" w:rsidP="0051541D">
      <w:pPr>
        <w:pStyle w:val="Bezproreda"/>
      </w:pPr>
    </w:p>
    <w:p w14:paraId="44A43568" w14:textId="382FF107" w:rsidR="0051541D" w:rsidRDefault="00EE01DF" w:rsidP="0051541D">
      <w:pPr>
        <w:pStyle w:val="Bezproreda"/>
      </w:pPr>
      <w:r>
        <w:t>Krapin</w:t>
      </w:r>
      <w:r w:rsidR="000A19C6">
        <w:t>ske Toplice</w:t>
      </w:r>
      <w:r>
        <w:t xml:space="preserve">, </w:t>
      </w:r>
      <w:r w:rsidR="00923E3D">
        <w:t>22.7.2024.</w:t>
      </w:r>
    </w:p>
    <w:p w14:paraId="6AA1AE98" w14:textId="77777777" w:rsidR="0051541D" w:rsidRDefault="0051541D" w:rsidP="0051541D">
      <w:pPr>
        <w:pStyle w:val="Bezproreda"/>
      </w:pPr>
    </w:p>
    <w:p w14:paraId="57B3F8ED" w14:textId="2DD3FD74" w:rsidR="0051541D" w:rsidRDefault="0051541D" w:rsidP="0051541D">
      <w:pPr>
        <w:pStyle w:val="Bezproreda"/>
      </w:pPr>
      <w:r>
        <w:t>Predmet: Obrazloženje</w:t>
      </w:r>
      <w:r w:rsidR="00B73A75">
        <w:t xml:space="preserve">  </w:t>
      </w:r>
      <w:r>
        <w:t xml:space="preserve"> Izvještaja o izvršenju financijskog plana za razdoblje </w:t>
      </w:r>
    </w:p>
    <w:p w14:paraId="2E6171AB" w14:textId="29F0570D" w:rsidR="0051541D" w:rsidRDefault="0051541D" w:rsidP="0051541D">
      <w:pPr>
        <w:pStyle w:val="Bezproreda"/>
      </w:pPr>
      <w:r>
        <w:tab/>
        <w:t xml:space="preserve">    01.01.202</w:t>
      </w:r>
      <w:r w:rsidR="0053201A">
        <w:t>4</w:t>
      </w:r>
      <w:r>
        <w:t xml:space="preserve">. </w:t>
      </w:r>
      <w:r w:rsidR="000A19C6">
        <w:t>–</w:t>
      </w:r>
      <w:r>
        <w:t xml:space="preserve"> 3</w:t>
      </w:r>
      <w:r w:rsidR="0053201A">
        <w:t>0</w:t>
      </w:r>
      <w:r w:rsidR="000A19C6">
        <w:t>.</w:t>
      </w:r>
      <w:r w:rsidR="0053201A">
        <w:t>06</w:t>
      </w:r>
      <w:r>
        <w:t>.202</w:t>
      </w:r>
      <w:r w:rsidR="0053201A">
        <w:t>4</w:t>
      </w:r>
      <w:r>
        <w:t>.</w:t>
      </w:r>
    </w:p>
    <w:p w14:paraId="6B52713B" w14:textId="77777777" w:rsidR="00497A18" w:rsidRDefault="00497A18" w:rsidP="0051541D">
      <w:pPr>
        <w:pStyle w:val="Bezproreda"/>
      </w:pPr>
    </w:p>
    <w:p w14:paraId="54CEC28B" w14:textId="77777777" w:rsidR="0051541D" w:rsidRPr="00EC4BD3" w:rsidRDefault="00497A18" w:rsidP="0051541D">
      <w:pPr>
        <w:pStyle w:val="Bezproreda"/>
        <w:rPr>
          <w:b/>
        </w:rPr>
      </w:pPr>
      <w:r w:rsidRPr="00EC4BD3">
        <w:rPr>
          <w:b/>
        </w:rPr>
        <w:t>1. UVODNE NAPOMENE</w:t>
      </w:r>
    </w:p>
    <w:p w14:paraId="1B0A2DBC" w14:textId="77777777" w:rsidR="00497A18" w:rsidRDefault="00497A18" w:rsidP="0051541D">
      <w:pPr>
        <w:pStyle w:val="Bezproreda"/>
      </w:pPr>
    </w:p>
    <w:p w14:paraId="7089339A" w14:textId="11A5C652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>Obveza izrade polugodišnjeg i godišnjeg izvještaja o izvršenju financijskog plana proračunskih korisnika propisana je</w:t>
      </w:r>
      <w:r w:rsidR="00CA7E4B">
        <w:rPr>
          <w:rFonts w:cstheme="minorHAnsi"/>
        </w:rPr>
        <w:t xml:space="preserve"> čl.81. </w:t>
      </w:r>
      <w:r w:rsidRPr="00702E1F">
        <w:rPr>
          <w:rFonts w:cstheme="minorHAnsi"/>
        </w:rPr>
        <w:t>Zakona o proračunu (NN 144/2021</w:t>
      </w:r>
      <w:r w:rsidR="00CA7E4B">
        <w:rPr>
          <w:rFonts w:cstheme="minorHAnsi"/>
        </w:rPr>
        <w:t>.</w:t>
      </w:r>
      <w:r w:rsidRPr="00702E1F">
        <w:rPr>
          <w:rFonts w:cstheme="minorHAnsi"/>
        </w:rPr>
        <w:t>)</w:t>
      </w:r>
      <w:r w:rsidR="00CA7E4B">
        <w:rPr>
          <w:rFonts w:cstheme="minorHAnsi"/>
        </w:rPr>
        <w:t>, a temeljem čl.86. Zakona o proračunu proračunski korisnik dužan je upravljačkom tijelu u skladu s aktima kojima je uređen rad proračunskog korisnika, dostaviti na usvajanje prijedlo</w:t>
      </w:r>
      <w:r w:rsidR="0024219F">
        <w:rPr>
          <w:rFonts w:cstheme="minorHAnsi"/>
        </w:rPr>
        <w:t xml:space="preserve">g </w:t>
      </w:r>
      <w:r w:rsidR="00BC4C2E">
        <w:rPr>
          <w:rFonts w:cstheme="minorHAnsi"/>
        </w:rPr>
        <w:t>godišnjeg</w:t>
      </w:r>
      <w:r w:rsidR="00CA7E4B">
        <w:rPr>
          <w:rFonts w:cstheme="minorHAnsi"/>
        </w:rPr>
        <w:t xml:space="preserve"> izvještaja o izvršenju financijskog plana za razdoblje 01.0</w:t>
      </w:r>
      <w:r w:rsidR="0053201A">
        <w:rPr>
          <w:rFonts w:cstheme="minorHAnsi"/>
        </w:rPr>
        <w:t>1</w:t>
      </w:r>
      <w:r w:rsidR="00CA7E4B">
        <w:rPr>
          <w:rFonts w:cstheme="minorHAnsi"/>
        </w:rPr>
        <w:t>.202</w:t>
      </w:r>
      <w:r w:rsidR="0053201A">
        <w:rPr>
          <w:rFonts w:cstheme="minorHAnsi"/>
        </w:rPr>
        <w:t>4</w:t>
      </w:r>
      <w:r w:rsidR="00CA7E4B">
        <w:rPr>
          <w:rFonts w:cstheme="minorHAnsi"/>
        </w:rPr>
        <w:t>.-3</w:t>
      </w:r>
      <w:r w:rsidR="0053201A">
        <w:rPr>
          <w:rFonts w:cstheme="minorHAnsi"/>
        </w:rPr>
        <w:t>0</w:t>
      </w:r>
      <w:r w:rsidR="00CA7E4B">
        <w:rPr>
          <w:rFonts w:cstheme="minorHAnsi"/>
        </w:rPr>
        <w:t>.</w:t>
      </w:r>
      <w:r w:rsidR="0053201A">
        <w:rPr>
          <w:rFonts w:cstheme="minorHAnsi"/>
        </w:rPr>
        <w:t>06</w:t>
      </w:r>
      <w:r w:rsidR="00CA7E4B">
        <w:rPr>
          <w:rFonts w:cstheme="minorHAnsi"/>
        </w:rPr>
        <w:t>.202</w:t>
      </w:r>
      <w:r w:rsidR="0053201A">
        <w:rPr>
          <w:rFonts w:cstheme="minorHAnsi"/>
        </w:rPr>
        <w:t>4</w:t>
      </w:r>
      <w:r w:rsidR="00CA7E4B">
        <w:rPr>
          <w:rFonts w:cstheme="minorHAnsi"/>
        </w:rPr>
        <w:t>.</w:t>
      </w:r>
      <w:r w:rsidR="0024219F">
        <w:rPr>
          <w:rFonts w:cstheme="minorHAnsi"/>
        </w:rPr>
        <w:t xml:space="preserve"> do 3</w:t>
      </w:r>
      <w:r w:rsidR="0053201A">
        <w:rPr>
          <w:rFonts w:cstheme="minorHAnsi"/>
        </w:rPr>
        <w:t>0</w:t>
      </w:r>
      <w:r w:rsidR="0024219F">
        <w:rPr>
          <w:rFonts w:cstheme="minorHAnsi"/>
        </w:rPr>
        <w:t xml:space="preserve">. </w:t>
      </w:r>
      <w:r w:rsidR="0053201A">
        <w:rPr>
          <w:rFonts w:cstheme="minorHAnsi"/>
        </w:rPr>
        <w:t>srpnja</w:t>
      </w:r>
      <w:r w:rsidR="0024219F">
        <w:rPr>
          <w:rFonts w:cstheme="minorHAnsi"/>
        </w:rPr>
        <w:t xml:space="preserve"> 202</w:t>
      </w:r>
      <w:r w:rsidR="00BC4C2E">
        <w:rPr>
          <w:rFonts w:cstheme="minorHAnsi"/>
        </w:rPr>
        <w:t>4</w:t>
      </w:r>
      <w:r w:rsidR="0024219F">
        <w:rPr>
          <w:rFonts w:cstheme="minorHAnsi"/>
        </w:rPr>
        <w:t>. godin</w:t>
      </w:r>
      <w:r w:rsidR="00BC4C2E">
        <w:rPr>
          <w:rFonts w:cstheme="minorHAnsi"/>
        </w:rPr>
        <w:t>e.</w:t>
      </w:r>
    </w:p>
    <w:p w14:paraId="5A8D7E86" w14:textId="3A0E2EB1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>Obzirom da 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  <w:r w:rsidR="0024219F">
        <w:rPr>
          <w:rFonts w:cstheme="minorHAnsi"/>
        </w:rPr>
        <w:t xml:space="preserve"> Financijski plan Osnovne škole </w:t>
      </w:r>
      <w:r w:rsidR="0026309B">
        <w:rPr>
          <w:rFonts w:cstheme="minorHAnsi"/>
        </w:rPr>
        <w:t>Krapinske Toplice</w:t>
      </w:r>
      <w:r w:rsidR="0024219F">
        <w:rPr>
          <w:rFonts w:cstheme="minorHAnsi"/>
        </w:rPr>
        <w:t xml:space="preserve"> usvojen je na sjednici Školskog odbora održanoj</w:t>
      </w:r>
      <w:r w:rsidR="001E010A">
        <w:rPr>
          <w:rFonts w:cstheme="minorHAnsi"/>
        </w:rPr>
        <w:t xml:space="preserve"> </w:t>
      </w:r>
      <w:r w:rsidR="007151D3">
        <w:rPr>
          <w:rFonts w:cstheme="minorHAnsi"/>
        </w:rPr>
        <w:t>09</w:t>
      </w:r>
      <w:r w:rsidR="001E010A">
        <w:rPr>
          <w:rFonts w:cstheme="minorHAnsi"/>
        </w:rPr>
        <w:t>.1</w:t>
      </w:r>
      <w:r w:rsidR="0026309B">
        <w:rPr>
          <w:rFonts w:cstheme="minorHAnsi"/>
        </w:rPr>
        <w:t>1</w:t>
      </w:r>
      <w:r w:rsidR="001E010A">
        <w:rPr>
          <w:rFonts w:cstheme="minorHAnsi"/>
        </w:rPr>
        <w:t>.202</w:t>
      </w:r>
      <w:r w:rsidR="007151D3">
        <w:rPr>
          <w:rFonts w:cstheme="minorHAnsi"/>
        </w:rPr>
        <w:t>3</w:t>
      </w:r>
      <w:r w:rsidR="001E010A">
        <w:rPr>
          <w:rFonts w:cstheme="minorHAnsi"/>
        </w:rPr>
        <w:t>.</w:t>
      </w:r>
    </w:p>
    <w:p w14:paraId="013BC3F5" w14:textId="7D8ECB6F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Slijedom gore navedenog Izvještaj o izvršenju financijskog plana Osnovne škole </w:t>
      </w:r>
      <w:r w:rsidR="0026309B">
        <w:rPr>
          <w:rFonts w:cstheme="minorHAnsi"/>
        </w:rPr>
        <w:t xml:space="preserve">Krapinske Toplice </w:t>
      </w:r>
      <w:r w:rsidRPr="00702E1F">
        <w:rPr>
          <w:rFonts w:cstheme="minorHAnsi"/>
        </w:rPr>
        <w:t xml:space="preserve"> sastoji se od: </w:t>
      </w:r>
    </w:p>
    <w:p w14:paraId="6CD94958" w14:textId="3A59D88C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Opći dio -Račun prihoda i rashoda</w:t>
      </w:r>
      <w:r w:rsidR="0026309B">
        <w:rPr>
          <w:rFonts w:cstheme="minorHAnsi"/>
        </w:rPr>
        <w:t xml:space="preserve"> i račun financiranja</w:t>
      </w:r>
    </w:p>
    <w:p w14:paraId="66DFAFC6" w14:textId="77777777" w:rsidR="00702E1F" w:rsidRP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-Prihodi i rashodi prema ekonomskoj klasifikaciji</w:t>
      </w:r>
    </w:p>
    <w:p w14:paraId="2E673F95" w14:textId="23D5473B" w:rsid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-Prihodi i rashodi prema izvorima</w:t>
      </w:r>
    </w:p>
    <w:p w14:paraId="481A6A24" w14:textId="49ECFF26" w:rsidR="0026309B" w:rsidRPr="00702E1F" w:rsidRDefault="002F0779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26309B">
        <w:rPr>
          <w:rFonts w:cstheme="minorHAnsi"/>
        </w:rPr>
        <w:t xml:space="preserve">- Rashodi prema funkcijskoj klasifikaciji </w:t>
      </w:r>
    </w:p>
    <w:p w14:paraId="49FF0C3F" w14:textId="37F9EFC0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Posebni dio – Izvršenje rashoda i izdataka</w:t>
      </w:r>
      <w:r w:rsidR="00CA7E4B">
        <w:rPr>
          <w:rFonts w:cstheme="minorHAnsi"/>
        </w:rPr>
        <w:t xml:space="preserve"> prema programskoj  </w:t>
      </w:r>
      <w:r w:rsidRPr="00702E1F">
        <w:rPr>
          <w:rFonts w:cstheme="minorHAnsi"/>
        </w:rPr>
        <w:t>klasifikaciji</w:t>
      </w:r>
    </w:p>
    <w:p w14:paraId="5885B3E9" w14:textId="77777777" w:rsidR="00702E1F" w:rsidRDefault="00702E1F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E1F">
        <w:rPr>
          <w:rFonts w:asciiTheme="minorHAnsi" w:hAnsiTheme="minorHAnsi" w:cstheme="minorHAnsi"/>
          <w:bCs/>
          <w:sz w:val="22"/>
          <w:szCs w:val="22"/>
        </w:rPr>
        <w:t xml:space="preserve">Obrazloženje </w:t>
      </w:r>
    </w:p>
    <w:p w14:paraId="1C53E87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93AB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4BD3">
        <w:rPr>
          <w:rFonts w:asciiTheme="minorHAnsi" w:hAnsiTheme="minorHAnsi" w:cstheme="minorHAnsi"/>
          <w:b/>
          <w:bCs/>
          <w:sz w:val="22"/>
          <w:szCs w:val="22"/>
        </w:rPr>
        <w:t xml:space="preserve">2. OBRAZLOŽENJE OPĆEG DIJELA IZVJEŠTAJA O IZVRŠENJU FINANCIJSKOG PLANA </w:t>
      </w:r>
    </w:p>
    <w:p w14:paraId="62CFF0EB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A537E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2.1. Prihodi i primici</w:t>
      </w:r>
    </w:p>
    <w:p w14:paraId="4A41E6B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D8B98" w14:textId="0B1D1FC9" w:rsid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i primici </w:t>
      </w:r>
      <w:r w:rsidR="00613BAE">
        <w:rPr>
          <w:rFonts w:asciiTheme="minorHAnsi" w:hAnsiTheme="minorHAnsi" w:cstheme="minorHAnsi"/>
          <w:bCs/>
          <w:sz w:val="22"/>
          <w:szCs w:val="22"/>
        </w:rPr>
        <w:t>OŠ Krapinske Toplice</w:t>
      </w:r>
      <w:r>
        <w:rPr>
          <w:rFonts w:asciiTheme="minorHAnsi" w:hAnsiTheme="minorHAnsi" w:cstheme="minorHAnsi"/>
          <w:bCs/>
          <w:sz w:val="22"/>
          <w:szCs w:val="22"/>
        </w:rPr>
        <w:t xml:space="preserve"> za 202</w:t>
      </w:r>
      <w:r w:rsidR="00D103BE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 god. planirani su u ukupnom iznosu 1.</w:t>
      </w:r>
      <w:r w:rsidR="00D103BE">
        <w:rPr>
          <w:rFonts w:asciiTheme="minorHAnsi" w:hAnsiTheme="minorHAnsi" w:cstheme="minorHAnsi"/>
          <w:bCs/>
          <w:sz w:val="22"/>
          <w:szCs w:val="22"/>
        </w:rPr>
        <w:t>216</w:t>
      </w:r>
      <w:r w:rsidR="00613BAE">
        <w:rPr>
          <w:rFonts w:asciiTheme="minorHAnsi" w:hAnsiTheme="minorHAnsi" w:cstheme="minorHAnsi"/>
          <w:bCs/>
          <w:sz w:val="22"/>
          <w:szCs w:val="22"/>
        </w:rPr>
        <w:t>.</w:t>
      </w:r>
      <w:r w:rsidR="00D103BE">
        <w:rPr>
          <w:rFonts w:asciiTheme="minorHAnsi" w:hAnsiTheme="minorHAnsi" w:cstheme="minorHAnsi"/>
          <w:bCs/>
          <w:sz w:val="22"/>
          <w:szCs w:val="22"/>
        </w:rPr>
        <w:t>450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</w:t>
      </w:r>
      <w:r w:rsidR="000A31F7">
        <w:rPr>
          <w:rFonts w:asciiTheme="minorHAnsi" w:hAnsiTheme="minorHAnsi" w:cstheme="minorHAnsi"/>
          <w:bCs/>
          <w:sz w:val="22"/>
          <w:szCs w:val="22"/>
        </w:rPr>
        <w:t>a u razdoblju 01.01.202</w:t>
      </w:r>
      <w:r w:rsidR="00D103BE">
        <w:rPr>
          <w:rFonts w:asciiTheme="minorHAnsi" w:hAnsiTheme="minorHAnsi" w:cstheme="minorHAnsi"/>
          <w:bCs/>
          <w:sz w:val="22"/>
          <w:szCs w:val="22"/>
        </w:rPr>
        <w:t>4</w:t>
      </w:r>
      <w:r w:rsidR="000A31F7">
        <w:rPr>
          <w:rFonts w:asciiTheme="minorHAnsi" w:hAnsiTheme="minorHAnsi" w:cstheme="minorHAnsi"/>
          <w:bCs/>
          <w:sz w:val="22"/>
          <w:szCs w:val="22"/>
        </w:rPr>
        <w:t>.-3</w:t>
      </w:r>
      <w:r w:rsidR="00D103BE">
        <w:rPr>
          <w:rFonts w:asciiTheme="minorHAnsi" w:hAnsiTheme="minorHAnsi" w:cstheme="minorHAnsi"/>
          <w:bCs/>
          <w:sz w:val="22"/>
          <w:szCs w:val="22"/>
        </w:rPr>
        <w:t>0</w:t>
      </w:r>
      <w:r w:rsidR="000A31F7">
        <w:rPr>
          <w:rFonts w:asciiTheme="minorHAnsi" w:hAnsiTheme="minorHAnsi" w:cstheme="minorHAnsi"/>
          <w:bCs/>
          <w:sz w:val="22"/>
          <w:szCs w:val="22"/>
        </w:rPr>
        <w:t>.</w:t>
      </w:r>
      <w:r w:rsidR="00D103BE">
        <w:rPr>
          <w:rFonts w:asciiTheme="minorHAnsi" w:hAnsiTheme="minorHAnsi" w:cstheme="minorHAnsi"/>
          <w:bCs/>
          <w:sz w:val="22"/>
          <w:szCs w:val="22"/>
        </w:rPr>
        <w:t>06</w:t>
      </w:r>
      <w:r w:rsidR="000A31F7">
        <w:rPr>
          <w:rFonts w:asciiTheme="minorHAnsi" w:hAnsiTheme="minorHAnsi" w:cstheme="minorHAnsi"/>
          <w:bCs/>
          <w:sz w:val="22"/>
          <w:szCs w:val="22"/>
        </w:rPr>
        <w:t>.202</w:t>
      </w:r>
      <w:r w:rsidR="00D103BE">
        <w:rPr>
          <w:rFonts w:asciiTheme="minorHAnsi" w:hAnsiTheme="minorHAnsi" w:cstheme="minorHAnsi"/>
          <w:bCs/>
          <w:sz w:val="22"/>
          <w:szCs w:val="22"/>
        </w:rPr>
        <w:t>4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D103BE">
        <w:rPr>
          <w:rFonts w:asciiTheme="minorHAnsi" w:hAnsiTheme="minorHAnsi" w:cstheme="minorHAnsi"/>
          <w:bCs/>
          <w:sz w:val="22"/>
          <w:szCs w:val="22"/>
        </w:rPr>
        <w:t>743</w:t>
      </w:r>
      <w:r w:rsidR="000A31F7">
        <w:rPr>
          <w:rFonts w:asciiTheme="minorHAnsi" w:hAnsiTheme="minorHAnsi" w:cstheme="minorHAnsi"/>
          <w:bCs/>
          <w:sz w:val="22"/>
          <w:szCs w:val="22"/>
        </w:rPr>
        <w:t>.</w:t>
      </w:r>
      <w:r w:rsidR="00D103BE">
        <w:rPr>
          <w:rFonts w:asciiTheme="minorHAnsi" w:hAnsiTheme="minorHAnsi" w:cstheme="minorHAnsi"/>
          <w:bCs/>
          <w:sz w:val="22"/>
          <w:szCs w:val="22"/>
        </w:rPr>
        <w:t>949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D103BE">
        <w:rPr>
          <w:rFonts w:asciiTheme="minorHAnsi" w:hAnsiTheme="minorHAnsi" w:cstheme="minorHAnsi"/>
          <w:bCs/>
          <w:sz w:val="22"/>
          <w:szCs w:val="22"/>
        </w:rPr>
        <w:t>61</w:t>
      </w:r>
      <w:r w:rsidR="000A31F7">
        <w:rPr>
          <w:rFonts w:asciiTheme="minorHAnsi" w:hAnsiTheme="minorHAnsi" w:cstheme="minorHAnsi"/>
          <w:bCs/>
          <w:sz w:val="22"/>
          <w:szCs w:val="22"/>
        </w:rPr>
        <w:t>%</w:t>
      </w:r>
      <w:r w:rsidR="007C6A0A">
        <w:rPr>
          <w:rFonts w:asciiTheme="minorHAnsi" w:hAnsiTheme="minorHAnsi" w:cstheme="minorHAnsi"/>
          <w:bCs/>
          <w:sz w:val="22"/>
          <w:szCs w:val="22"/>
        </w:rPr>
        <w:t>, kako je prikazano u Tablici 1.</w:t>
      </w:r>
      <w:r w:rsidR="00EC4B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B4D8BD2" w14:textId="65FD5AFF" w:rsidR="007C6A0A" w:rsidRDefault="00EC4BD3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 odnosu na izvršenje za isto razdoblje prethodne godine primjećuje se povećanje ostvarenih prihoda, razlog tome je povećanje osnovice za isplatu plaća zaposlenima, povećanje iznosa  te Odluka Vlade RH o plaćanju prehrane za sve učenike iz državnog proračuna.</w:t>
      </w:r>
    </w:p>
    <w:p w14:paraId="08F9C12C" w14:textId="77777777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746C34" w14:textId="29F1F255" w:rsidR="00EC4BD3" w:rsidRDefault="00EC4BD3" w:rsidP="003B31D6">
      <w:pPr>
        <w:spacing w:line="360" w:lineRule="auto"/>
        <w:ind w:left="708"/>
        <w:jc w:val="both"/>
        <w:rPr>
          <w:bCs/>
          <w:lang w:eastAsia="hr-HR"/>
        </w:rPr>
      </w:pPr>
    </w:p>
    <w:p w14:paraId="41EA7747" w14:textId="77777777" w:rsidR="00613BAE" w:rsidRDefault="00613BAE" w:rsidP="003B31D6">
      <w:pPr>
        <w:spacing w:line="360" w:lineRule="auto"/>
        <w:ind w:left="708"/>
        <w:jc w:val="both"/>
        <w:rPr>
          <w:bCs/>
          <w:lang w:eastAsia="hr-HR"/>
        </w:rPr>
      </w:pPr>
    </w:p>
    <w:p w14:paraId="3D680213" w14:textId="57A8A5A3" w:rsidR="003B31D6" w:rsidRPr="00537E62" w:rsidRDefault="003B31D6" w:rsidP="00421087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537E62">
        <w:rPr>
          <w:rFonts w:asciiTheme="minorHAnsi" w:hAnsiTheme="minorHAnsi" w:cstheme="minorHAnsi"/>
          <w:bCs/>
          <w:lang w:eastAsia="hr-HR"/>
        </w:rPr>
        <w:t>Tablica 1.</w:t>
      </w:r>
      <w:r w:rsidRPr="00537E62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537E62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537E62">
        <w:rPr>
          <w:rFonts w:asciiTheme="minorHAnsi" w:hAnsiTheme="minorHAnsi" w:cstheme="minorHAnsi"/>
          <w:lang w:eastAsia="hr-HR"/>
        </w:rPr>
        <w:t>prihoda i primitaka za 202</w:t>
      </w:r>
      <w:r w:rsidR="00D103BE">
        <w:rPr>
          <w:rFonts w:asciiTheme="minorHAnsi" w:hAnsiTheme="minorHAnsi" w:cstheme="minorHAnsi"/>
          <w:lang w:eastAsia="hr-HR"/>
        </w:rPr>
        <w:t>4</w:t>
      </w:r>
      <w:r w:rsidRPr="00537E62">
        <w:rPr>
          <w:rFonts w:asciiTheme="minorHAnsi" w:hAnsiTheme="minorHAnsi" w:cstheme="minorHAnsi"/>
          <w:lang w:eastAsia="hr-HR"/>
        </w:rPr>
        <w:t>.godinu</w:t>
      </w:r>
    </w:p>
    <w:tbl>
      <w:tblPr>
        <w:tblW w:w="9160" w:type="dxa"/>
        <w:tblInd w:w="-5" w:type="dxa"/>
        <w:tblLook w:val="04A0" w:firstRow="1" w:lastRow="0" w:firstColumn="1" w:lastColumn="0" w:noHBand="0" w:noVBand="1"/>
      </w:tblPr>
      <w:tblGrid>
        <w:gridCol w:w="4448"/>
        <w:gridCol w:w="1280"/>
        <w:gridCol w:w="1280"/>
        <w:gridCol w:w="1071"/>
        <w:gridCol w:w="1081"/>
      </w:tblGrid>
      <w:tr w:rsidR="003B31D6" w:rsidRPr="00537E62" w14:paraId="49C8EF3E" w14:textId="77777777" w:rsidTr="00EE3C99">
        <w:trPr>
          <w:cantSplit/>
          <w:trHeight w:val="52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E0E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lastRenderedPageBreak/>
              <w:t>Prihodi/primici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00B" w14:textId="70BD1E7D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D103BE">
              <w:rPr>
                <w:rFonts w:asciiTheme="minorHAnsi" w:hAnsiTheme="minorHAnsi" w:cstheme="minorHAnsi"/>
                <w:lang w:eastAsia="hr-HR"/>
              </w:rPr>
              <w:t>4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17B" w14:textId="287E87D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Ostvarenje  01.01.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202</w:t>
            </w:r>
            <w:r w:rsidR="00D103BE">
              <w:rPr>
                <w:rFonts w:asciiTheme="minorHAnsi" w:hAnsiTheme="minorHAnsi" w:cstheme="minorHAnsi"/>
                <w:lang w:eastAsia="hr-HR"/>
              </w:rPr>
              <w:t>4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Pr="00537E62">
              <w:rPr>
                <w:rFonts w:asciiTheme="minorHAnsi" w:hAnsiTheme="minorHAnsi" w:cstheme="minorHAnsi"/>
                <w:lang w:eastAsia="hr-HR"/>
              </w:rPr>
              <w:t>-3</w:t>
            </w:r>
            <w:r w:rsidR="00D103BE">
              <w:rPr>
                <w:rFonts w:asciiTheme="minorHAnsi" w:hAnsiTheme="minorHAnsi" w:cstheme="minorHAnsi"/>
                <w:lang w:eastAsia="hr-HR"/>
              </w:rPr>
              <w:t>0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D103BE">
              <w:rPr>
                <w:rFonts w:asciiTheme="minorHAnsi" w:hAnsiTheme="minorHAnsi" w:cstheme="minorHAnsi"/>
                <w:lang w:eastAsia="hr-HR"/>
              </w:rPr>
              <w:t>06</w:t>
            </w:r>
            <w:r w:rsidRPr="00537E62">
              <w:rPr>
                <w:rFonts w:asciiTheme="minorHAnsi" w:hAnsiTheme="minorHAnsi" w:cstheme="minorHAnsi"/>
                <w:lang w:eastAsia="hr-HR"/>
              </w:rPr>
              <w:t>.202</w:t>
            </w:r>
            <w:r w:rsidR="00D103BE">
              <w:rPr>
                <w:rFonts w:asciiTheme="minorHAnsi" w:hAnsiTheme="minorHAnsi" w:cstheme="minorHAnsi"/>
                <w:lang w:eastAsia="hr-HR"/>
              </w:rPr>
              <w:t>4</w:t>
            </w:r>
            <w:r w:rsidRPr="00537E62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392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Indeks ostvarenja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37F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Udio u ostvarenju</w:t>
            </w:r>
          </w:p>
        </w:tc>
      </w:tr>
      <w:tr w:rsidR="00700BE5" w:rsidRPr="00537E62" w14:paraId="2A7D82A1" w14:textId="77777777" w:rsidTr="00EE3C99">
        <w:trPr>
          <w:cantSplit/>
          <w:trHeight w:val="52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E887" w14:textId="77777777" w:rsidR="00700BE5" w:rsidRPr="00537E62" w:rsidRDefault="00700BE5" w:rsidP="00700BE5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Prihodi poslovanja-ukupno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5610" w14:textId="374516D1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1.</w:t>
            </w:r>
            <w:r w:rsidR="00652E4D">
              <w:rPr>
                <w:rFonts w:asciiTheme="minorHAnsi" w:hAnsiTheme="minorHAnsi" w:cstheme="minorHAnsi"/>
                <w:b/>
                <w:lang w:eastAsia="hr-HR"/>
              </w:rPr>
              <w:t>2</w:t>
            </w:r>
            <w:r w:rsidR="00D103BE">
              <w:rPr>
                <w:rFonts w:asciiTheme="minorHAnsi" w:hAnsiTheme="minorHAnsi" w:cstheme="minorHAnsi"/>
                <w:b/>
                <w:lang w:eastAsia="hr-HR"/>
              </w:rPr>
              <w:t>16.450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878C" w14:textId="6E72761B" w:rsidR="00700BE5" w:rsidRPr="00537E62" w:rsidRDefault="00D103BE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743.949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B044" w14:textId="52F7483D" w:rsidR="00700BE5" w:rsidRPr="00537E62" w:rsidRDefault="00D103BE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1990" w14:textId="77777777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700BE5" w:rsidRPr="00537E62" w14:paraId="149CAFDE" w14:textId="77777777" w:rsidTr="00EE3C99">
        <w:trPr>
          <w:trHeight w:val="27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1BF" w14:textId="77777777" w:rsidR="00700BE5" w:rsidRPr="00537E62" w:rsidRDefault="00490321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</w:t>
            </w:r>
            <w:r w:rsidR="00700BE5" w:rsidRPr="00537E62">
              <w:rPr>
                <w:rFonts w:asciiTheme="minorHAnsi" w:hAnsiTheme="minorHAnsi" w:cstheme="minorHAnsi"/>
                <w:lang w:eastAsia="hr-HR"/>
              </w:rPr>
              <w:t>omoći proračunskim korisnicima iz proračuna koji im nije nadležan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C42" w14:textId="027237F5" w:rsidR="00700BE5" w:rsidRPr="00537E62" w:rsidRDefault="00D103B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1.131.550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11F2" w14:textId="73FFA968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678.699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F08" w14:textId="0E7E44C1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FA2" w14:textId="28B1C3C4" w:rsidR="00700BE5" w:rsidRPr="00537E62" w:rsidRDefault="00652E4D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</w:t>
            </w:r>
            <w:r w:rsidR="00934DA4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EE3C99" w:rsidRPr="00537E62" w14:paraId="4B90073F" w14:textId="77777777" w:rsidTr="00EE3C99">
        <w:trPr>
          <w:trHeight w:val="5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0849" w14:textId="4892E54B" w:rsidR="00EE3C99" w:rsidRPr="00537E62" w:rsidRDefault="00EE3C99" w:rsidP="00700BE5">
            <w:pPr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Tekuće pomoći temeljem prijenosa EU sredstava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A061" w14:textId="03D68616" w:rsidR="00EE3C99" w:rsidRDefault="00EE3C99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D103BE">
              <w:rPr>
                <w:rFonts w:asciiTheme="minorHAnsi" w:hAnsiTheme="minorHAnsi" w:cstheme="minorHAnsi"/>
                <w:lang w:eastAsia="hr-HR"/>
              </w:rPr>
              <w:t>1.</w:t>
            </w:r>
            <w:r w:rsidR="00934DA4">
              <w:rPr>
                <w:rFonts w:asciiTheme="minorHAnsi" w:hAnsiTheme="minorHAnsi" w:cstheme="minorHAnsi"/>
                <w:lang w:eastAsia="hr-HR"/>
              </w:rPr>
              <w:t>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6421" w14:textId="01F38FDD" w:rsidR="00EE3C99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9.931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3D5A" w14:textId="5CAF0975" w:rsidR="00EE3C99" w:rsidRDefault="00934DA4" w:rsidP="00652E4D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66BC" w14:textId="28CD483E" w:rsidR="00EE3C99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</w:p>
        </w:tc>
      </w:tr>
      <w:tr w:rsidR="00700BE5" w:rsidRPr="00537E62" w14:paraId="3CF2C183" w14:textId="77777777" w:rsidTr="00EE3C99">
        <w:trPr>
          <w:trHeight w:val="5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E6B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financijske imovine - Kamate na oročena sredstva i depozite po viđenju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969B" w14:textId="715C55C0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9C30" w14:textId="39C1C0B7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C26" w14:textId="2F9CF74E" w:rsidR="00700BE5" w:rsidRPr="00537E62" w:rsidRDefault="00934DA4" w:rsidP="00652E4D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810" w14:textId="77777777" w:rsidR="00700BE5" w:rsidRPr="00537E62" w:rsidRDefault="00490321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700BE5" w:rsidRPr="00537E62" w14:paraId="314A08AE" w14:textId="77777777" w:rsidTr="00EE3C99">
        <w:trPr>
          <w:trHeight w:val="5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52B" w14:textId="77777777" w:rsidR="00700BE5" w:rsidRPr="00537E62" w:rsidRDefault="00700BE5" w:rsidP="00490321">
            <w:pPr>
              <w:rPr>
                <w:rFonts w:asciiTheme="minorHAnsi" w:hAnsiTheme="minorHAnsi" w:cstheme="minorHAnsi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 xml:space="preserve">Prihodi po posebnim propisima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FA5" w14:textId="6EE9C090" w:rsidR="00700BE5" w:rsidRPr="00537E62" w:rsidRDefault="007C6A0A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2</w:t>
            </w:r>
            <w:r w:rsidR="00934DA4">
              <w:rPr>
                <w:rFonts w:asciiTheme="minorHAnsi" w:hAnsiTheme="minorHAnsi" w:cstheme="minorHAnsi"/>
                <w:lang w:eastAsia="hr-HR"/>
              </w:rPr>
              <w:t>1.200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2A6" w14:textId="0594C37D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2</w:t>
            </w:r>
            <w:r w:rsidR="00934DA4">
              <w:rPr>
                <w:rFonts w:asciiTheme="minorHAnsi" w:hAnsiTheme="minorHAnsi" w:cstheme="minorHAnsi"/>
                <w:lang w:eastAsia="hr-HR"/>
              </w:rPr>
              <w:t>2.864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838" w14:textId="339163CF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762" w14:textId="5EB8C285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</w:t>
            </w:r>
          </w:p>
        </w:tc>
      </w:tr>
      <w:tr w:rsidR="00700BE5" w:rsidRPr="00537E62" w14:paraId="74E487AE" w14:textId="77777777" w:rsidTr="00EE3C99">
        <w:trPr>
          <w:trHeight w:val="5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B908" w14:textId="77777777" w:rsidR="00700BE5" w:rsidRPr="00537E62" w:rsidRDefault="00700BE5" w:rsidP="00490321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proizvoda i roba te pruženih usluga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15C4" w14:textId="2D068432" w:rsidR="00700BE5" w:rsidRPr="00537E62" w:rsidRDefault="00652E4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9F9" w14:textId="625ECDD2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6F62" w14:textId="395FF753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0488" w14:textId="04626EED" w:rsidR="00700BE5" w:rsidRPr="00537E62" w:rsidRDefault="007C6A0A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700BE5" w:rsidRPr="00537E62" w14:paraId="484E6CAD" w14:textId="77777777" w:rsidTr="00EE3C99">
        <w:trPr>
          <w:trHeight w:val="5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19D7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Donacije od pravnih i fizičkih osoba</w:t>
            </w:r>
            <w:r w:rsidR="00490321" w:rsidRPr="00537E62">
              <w:rPr>
                <w:rFonts w:asciiTheme="minorHAnsi" w:hAnsiTheme="minorHAnsi" w:cstheme="minorHAnsi"/>
                <w:lang w:eastAsia="hr-HR"/>
              </w:rPr>
              <w:t xml:space="preserve"> izvan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4237" w14:textId="736F231C" w:rsidR="00700BE5" w:rsidRPr="00537E62" w:rsidRDefault="00652E4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</w:t>
            </w:r>
            <w:r w:rsidR="00934DA4">
              <w:rPr>
                <w:rFonts w:asciiTheme="minorHAnsi" w:hAnsiTheme="minorHAnsi" w:cstheme="minorHAnsi"/>
                <w:lang w:eastAsia="hr-HR"/>
              </w:rPr>
              <w:t>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3496" w14:textId="1CBCCC16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2.830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3B08" w14:textId="358AFEBD" w:rsidR="00700BE5" w:rsidRPr="00537E62" w:rsidRDefault="00934DA4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61E5" w14:textId="781E9252" w:rsidR="00700BE5" w:rsidRPr="00537E62" w:rsidRDefault="007C6A0A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700BE5" w:rsidRPr="00537E62" w14:paraId="07BFEE42" w14:textId="77777777" w:rsidTr="00EE3C99">
        <w:trPr>
          <w:trHeight w:val="5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0490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C85F" w14:textId="4D03BA93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49.660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F053" w14:textId="4AE441B0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28.684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9E42" w14:textId="534ADBC4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86E" w14:textId="5B5FA2E3" w:rsidR="00700BE5" w:rsidRPr="00537E62" w:rsidRDefault="00934DA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</w:t>
            </w:r>
          </w:p>
        </w:tc>
      </w:tr>
    </w:tbl>
    <w:p w14:paraId="0BAC3199" w14:textId="77777777" w:rsidR="003B31D6" w:rsidRDefault="003B31D6" w:rsidP="003B31D6">
      <w:pPr>
        <w:jc w:val="both"/>
        <w:rPr>
          <w:b/>
          <w:bCs/>
          <w:lang w:eastAsia="hr-HR"/>
        </w:rPr>
      </w:pPr>
    </w:p>
    <w:p w14:paraId="303F9AC0" w14:textId="77777777" w:rsidR="00AD77A3" w:rsidRDefault="00AD77A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F78176" w14:textId="28A6EB14" w:rsidR="007C6A0A" w:rsidRDefault="007C6A0A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Najveći udio u ostvarenju prihoda poslovanja su tekuće pomoći proračunskim korisnicima iz proračuna koji im nije nadležan, a iz kojih se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iz državnog proračuna</w:t>
      </w:r>
      <w:r>
        <w:rPr>
          <w:rFonts w:asciiTheme="minorHAnsi" w:hAnsiTheme="minorHAnsi" w:cstheme="minorHAnsi"/>
          <w:bCs/>
          <w:sz w:val="22"/>
          <w:szCs w:val="22"/>
        </w:rPr>
        <w:t xml:space="preserve"> financiraju troškovi plaća i ostalih materijalnih prava zap</w:t>
      </w:r>
      <w:r w:rsidR="0034024D">
        <w:rPr>
          <w:rFonts w:asciiTheme="minorHAnsi" w:hAnsiTheme="minorHAnsi" w:cstheme="minorHAnsi"/>
          <w:bCs/>
          <w:sz w:val="22"/>
          <w:szCs w:val="22"/>
        </w:rPr>
        <w:t>oslenika, te od siječnja 2023. O</w:t>
      </w:r>
      <w:r>
        <w:rPr>
          <w:rFonts w:asciiTheme="minorHAnsi" w:hAnsiTheme="minorHAnsi" w:cstheme="minorHAnsi"/>
          <w:bCs/>
          <w:sz w:val="22"/>
          <w:szCs w:val="22"/>
        </w:rPr>
        <w:t>dlukom Vlade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RH</w:t>
      </w:r>
      <w:r>
        <w:rPr>
          <w:rFonts w:asciiTheme="minorHAnsi" w:hAnsiTheme="minorHAnsi" w:cstheme="minorHAnsi"/>
          <w:bCs/>
          <w:sz w:val="22"/>
          <w:szCs w:val="22"/>
        </w:rPr>
        <w:t xml:space="preserve"> i troškovi prehrane za sve učenike škole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te troškovi nabave higijenskih potrepština za djevojčice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A645AD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2E85A1" w14:textId="77777777" w:rsidR="0034024D" w:rsidRDefault="0049032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po posebnim propisima </w:t>
      </w:r>
      <w:r w:rsidR="0034024D">
        <w:rPr>
          <w:rFonts w:asciiTheme="minorHAnsi" w:hAnsiTheme="minorHAnsi" w:cstheme="minorHAnsi"/>
          <w:bCs/>
          <w:sz w:val="22"/>
          <w:szCs w:val="22"/>
        </w:rPr>
        <w:t>odnose se na uplaćena sredstva za prehranu učenika-dugovanje iz 2022. godine, na uplaćene prihode od roditelja za financiranje terenskih nastava i izleta učenika te refundaciju štete od osiguranja.</w:t>
      </w:r>
    </w:p>
    <w:p w14:paraId="717E01E4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C92B56" w14:textId="19F374F3" w:rsidR="00490321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proizvoda i roba te pruženih usluga odnose se na prihode od iznajmljivanja školskog prostora.</w:t>
      </w:r>
      <w:r w:rsidR="0049032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E8DE92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03E68" w14:textId="25A47CC1" w:rsidR="0034024D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Donacije od pravnih i fizičkih osoba izvan općeg proračuna odnose se na uplate donacija od trgovačkih poduzeća </w:t>
      </w:r>
      <w:r w:rsidR="00E04260">
        <w:rPr>
          <w:rFonts w:asciiTheme="minorHAnsi" w:hAnsiTheme="minorHAnsi" w:cstheme="minorHAnsi"/>
          <w:bCs/>
          <w:sz w:val="22"/>
          <w:szCs w:val="22"/>
        </w:rPr>
        <w:t>za</w:t>
      </w:r>
      <w:r>
        <w:rPr>
          <w:rFonts w:asciiTheme="minorHAnsi" w:hAnsiTheme="minorHAnsi" w:cstheme="minorHAnsi"/>
          <w:bCs/>
          <w:sz w:val="22"/>
          <w:szCs w:val="22"/>
        </w:rPr>
        <w:t xml:space="preserve"> izlete učenika</w:t>
      </w:r>
      <w:r w:rsidR="00934DA4">
        <w:rPr>
          <w:rFonts w:asciiTheme="minorHAnsi" w:hAnsiTheme="minorHAnsi" w:cstheme="minorHAnsi"/>
          <w:bCs/>
          <w:sz w:val="22"/>
          <w:szCs w:val="22"/>
        </w:rPr>
        <w:t>, te donaciju Konzuma u projektu „Mali veliki talenti“.</w:t>
      </w:r>
    </w:p>
    <w:p w14:paraId="7ECA9F60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B71683" w14:textId="75B2521F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iz nadležnog proračuna odnose se na financiranje decentraliziranih funkcija-redovne djelatnosti proračunskog korisnika te na prihode iznad minimalnog financijskog standarda za financiranje školske sheme voća </w:t>
      </w:r>
      <w:r w:rsidR="00E04260">
        <w:rPr>
          <w:rFonts w:asciiTheme="minorHAnsi" w:hAnsiTheme="minorHAnsi" w:cstheme="minorHAnsi"/>
          <w:bCs/>
          <w:sz w:val="22"/>
          <w:szCs w:val="22"/>
        </w:rPr>
        <w:t xml:space="preserve">i mlijeka, </w:t>
      </w:r>
      <w:r>
        <w:rPr>
          <w:rFonts w:asciiTheme="minorHAnsi" w:hAnsiTheme="minorHAnsi" w:cstheme="minorHAnsi"/>
          <w:bCs/>
          <w:sz w:val="22"/>
          <w:szCs w:val="22"/>
        </w:rPr>
        <w:t>troškova ugovora o djelu za e-tehničara</w:t>
      </w:r>
      <w:r w:rsidR="00E04260">
        <w:rPr>
          <w:rFonts w:asciiTheme="minorHAnsi" w:hAnsiTheme="minorHAnsi" w:cstheme="minorHAnsi"/>
          <w:bCs/>
          <w:sz w:val="22"/>
          <w:szCs w:val="22"/>
        </w:rPr>
        <w:t>, građanskog odgoja, radionice, troškovi natjecanja</w:t>
      </w:r>
      <w:r w:rsidR="00535B5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A199D7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78DD0" w14:textId="781C2B08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ABCCF0" w14:textId="38E1F6EB" w:rsidR="00543AC3" w:rsidRDefault="00543AC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88DD8" w14:textId="2CACA93E" w:rsidR="00F7242F" w:rsidRDefault="00F7242F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E57D4C" w14:textId="5D04BB47" w:rsidR="00825DFE" w:rsidRDefault="00825DF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917793" w14:textId="7CA501A3" w:rsidR="00825DFE" w:rsidRDefault="00825DF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3CD61B" w14:textId="75EEA871" w:rsidR="00825DFE" w:rsidRDefault="00825DF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C0E0B3" w14:textId="0579115E" w:rsidR="00825DFE" w:rsidRDefault="00825DF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9BEA90" w14:textId="48825E9E" w:rsidR="00825DFE" w:rsidRDefault="00825DF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74B81A" w14:textId="77777777" w:rsidR="00825DFE" w:rsidRDefault="00825DF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381F89" w14:textId="627A3089" w:rsidR="00A26FAE" w:rsidRDefault="00E47DD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Grafikon 1. Usporedni prikaz planiranih i ostvarenih prihoda poslovanja 3</w:t>
      </w:r>
      <w:r w:rsidR="000F5A6B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0F5A6B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0F5A6B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807F322" w14:textId="77777777" w:rsidR="007B458E" w:rsidRDefault="007B458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AF652E" w14:textId="77777777" w:rsidR="00543AC3" w:rsidRDefault="00543AC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725BCF" w14:textId="77777777" w:rsidR="00543AC3" w:rsidRDefault="00543AC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3F2DFC" w14:textId="77777777" w:rsidR="00543AC3" w:rsidRDefault="00543AC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807C40" w14:textId="220C8D89" w:rsidR="00E47DD5" w:rsidRDefault="00543AC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eastAsia="hr-HR"/>
        </w:rPr>
        <w:drawing>
          <wp:inline distT="0" distB="0" distL="0" distR="0" wp14:anchorId="5E452FE4" wp14:editId="1554EB41">
            <wp:extent cx="4943475" cy="30765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9E7598" w14:textId="1812243C" w:rsidR="000C72B1" w:rsidRDefault="000C72B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04C760" w14:textId="51615C7B" w:rsidR="000C72B1" w:rsidRDefault="000C72B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25B3C7" w14:textId="77777777" w:rsidR="000C72B1" w:rsidRDefault="000C72B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D7BC9A" w14:textId="71916ECC" w:rsidR="00E47DD5" w:rsidRDefault="00E47DD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eastAsia="hr-HR"/>
        </w:rPr>
        <w:drawing>
          <wp:inline distT="0" distB="0" distL="0" distR="0" wp14:anchorId="73548756" wp14:editId="0DAFAF1F">
            <wp:extent cx="5314950" cy="371475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2CC551" w14:textId="77777777" w:rsidR="00B82F51" w:rsidRDefault="00B82F5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2B54E9" w14:textId="5F7401FE" w:rsidR="00E0775A" w:rsidRDefault="00E0775A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Grafikon 2. Udio u ostvarenju prihoda poslovanja 3</w:t>
      </w:r>
      <w:r w:rsidR="00D00D06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D00D06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D00D06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8598349" w14:textId="0A06BF41" w:rsidR="00E47DD5" w:rsidRDefault="00E47DD5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F763C70" w14:textId="77777777" w:rsidR="00825DFE" w:rsidRDefault="00825DFE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81E7C5E" w14:textId="2822C12C" w:rsidR="00A26FAE" w:rsidRPr="00EC4BD3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2.2. Sredstva viška prihoda iz prethodnih godina</w:t>
      </w:r>
    </w:p>
    <w:p w14:paraId="49223394" w14:textId="7CA72147" w:rsidR="00930904" w:rsidRPr="00930904" w:rsidRDefault="00EB1BFC" w:rsidP="009309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Višak prihoda ostvaren u 2023 godini 8.185€ </w:t>
      </w:r>
      <w:r w:rsidR="00930904">
        <w:rPr>
          <w:rFonts w:asciiTheme="minorHAnsi" w:hAnsiTheme="minorHAnsi" w:cstheme="minorHAnsi"/>
          <w:bCs/>
          <w:sz w:val="22"/>
          <w:szCs w:val="22"/>
        </w:rPr>
        <w:t xml:space="preserve"> utrošit</w:t>
      </w:r>
      <w:r>
        <w:rPr>
          <w:rFonts w:asciiTheme="minorHAnsi" w:hAnsiTheme="minorHAnsi" w:cstheme="minorHAnsi"/>
          <w:bCs/>
          <w:sz w:val="22"/>
          <w:szCs w:val="22"/>
        </w:rPr>
        <w:t xml:space="preserve">i će se </w:t>
      </w:r>
      <w:r w:rsidR="00930904">
        <w:rPr>
          <w:rFonts w:asciiTheme="minorHAnsi" w:hAnsiTheme="minorHAnsi" w:cstheme="minorHAnsi"/>
          <w:bCs/>
          <w:sz w:val="22"/>
          <w:szCs w:val="22"/>
        </w:rPr>
        <w:t xml:space="preserve">u 2024 godini : </w:t>
      </w:r>
      <w:r w:rsidR="00930904" w:rsidRPr="00930904">
        <w:rPr>
          <w:rFonts w:asciiTheme="minorHAnsi" w:hAnsiTheme="minorHAnsi" w:cstheme="minorHAnsi"/>
          <w:sz w:val="22"/>
          <w:szCs w:val="22"/>
        </w:rPr>
        <w:t>Projekti MZO, materijalni i financijski troškovi, nabava opreme i investicijsko održavanje.</w:t>
      </w:r>
    </w:p>
    <w:p w14:paraId="501AD825" w14:textId="40218C48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2F5A2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F61ACD" w14:textId="77777777" w:rsidR="006A2485" w:rsidRPr="00EC4BD3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2.3. Rashodi i izdaci</w:t>
      </w:r>
    </w:p>
    <w:p w14:paraId="356EE0DF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59FE7" w14:textId="3AE5E5E0" w:rsidR="006A2485" w:rsidRDefault="006A2485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Ukupni rashodi i izdaci za 202</w:t>
      </w:r>
      <w:r w:rsidR="00223D8B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 godinu planirani su u iznosu 1.</w:t>
      </w:r>
      <w:r w:rsidR="0007482D">
        <w:rPr>
          <w:rFonts w:asciiTheme="minorHAnsi" w:hAnsiTheme="minorHAnsi" w:cstheme="minorHAnsi"/>
          <w:bCs/>
          <w:sz w:val="22"/>
          <w:szCs w:val="22"/>
        </w:rPr>
        <w:t>2</w:t>
      </w:r>
      <w:r w:rsidR="00223D8B">
        <w:rPr>
          <w:rFonts w:asciiTheme="minorHAnsi" w:hAnsiTheme="minorHAnsi" w:cstheme="minorHAnsi"/>
          <w:bCs/>
          <w:sz w:val="22"/>
          <w:szCs w:val="22"/>
        </w:rPr>
        <w:t>16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223D8B">
        <w:rPr>
          <w:rFonts w:asciiTheme="minorHAnsi" w:hAnsiTheme="minorHAnsi" w:cstheme="minorHAnsi"/>
          <w:bCs/>
          <w:sz w:val="22"/>
          <w:szCs w:val="22"/>
        </w:rPr>
        <w:t>450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a u razdoblju 01.01.202</w:t>
      </w:r>
      <w:r w:rsidR="00223D8B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.-3</w:t>
      </w:r>
      <w:r w:rsidR="00223D8B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223D8B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223D8B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223D8B">
        <w:rPr>
          <w:rFonts w:asciiTheme="minorHAnsi" w:hAnsiTheme="minorHAnsi" w:cstheme="minorHAnsi"/>
          <w:bCs/>
          <w:sz w:val="22"/>
          <w:szCs w:val="22"/>
        </w:rPr>
        <w:t>747</w:t>
      </w:r>
      <w:r w:rsidR="0007482D">
        <w:rPr>
          <w:rFonts w:asciiTheme="minorHAnsi" w:hAnsiTheme="minorHAnsi" w:cstheme="minorHAnsi"/>
          <w:bCs/>
          <w:sz w:val="22"/>
          <w:szCs w:val="22"/>
        </w:rPr>
        <w:t>.</w:t>
      </w:r>
      <w:r w:rsidR="00223D8B">
        <w:rPr>
          <w:rFonts w:asciiTheme="minorHAnsi" w:hAnsiTheme="minorHAnsi" w:cstheme="minorHAnsi"/>
          <w:bCs/>
          <w:sz w:val="22"/>
          <w:szCs w:val="22"/>
        </w:rPr>
        <w:t>284</w:t>
      </w:r>
      <w:r w:rsidR="0007482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€, što je ostvarenje od </w:t>
      </w:r>
      <w:r w:rsidR="00223D8B">
        <w:rPr>
          <w:rFonts w:asciiTheme="minorHAnsi" w:hAnsiTheme="minorHAnsi" w:cstheme="minorHAnsi"/>
          <w:bCs/>
          <w:sz w:val="22"/>
          <w:szCs w:val="22"/>
        </w:rPr>
        <w:t>6</w:t>
      </w:r>
      <w:r w:rsidR="0007482D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%, kako je prikazano u Tablici 2.</w:t>
      </w:r>
    </w:p>
    <w:p w14:paraId="47C45967" w14:textId="761C3E81" w:rsidR="00EC4BD3" w:rsidRDefault="00680248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odnosu na izvještajno razdoblje prethodne godine primjećuje se povećanje ostvarenih rashoda poslovanja, najviše iz razloga povećanja osnovice za isplatu plaće zaposlenicima </w:t>
      </w:r>
      <w:r w:rsidR="00223D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isplaćeno je više pomoći zaposlenicima, povećani su i rashodi za nabavu namirnica za prehranu učenika jer se sad obrok u školskoj kuhinji priprema za sve učenike škole, a ujedno je došlo i do značajnog porasta cijena prehrambenih proizvoda, materijala i sredstava za čišćenje i održavanje, materijala za higijenske potrebe i njegu, uredskog materijala te energenata. </w:t>
      </w:r>
    </w:p>
    <w:p w14:paraId="52A6A141" w14:textId="77777777" w:rsidR="00490321" w:rsidRDefault="00490321" w:rsidP="0034024D">
      <w:pPr>
        <w:spacing w:line="360" w:lineRule="auto"/>
        <w:jc w:val="both"/>
        <w:rPr>
          <w:shd w:val="clear" w:color="auto" w:fill="FFFFFF"/>
        </w:rPr>
      </w:pPr>
      <w:r>
        <w:rPr>
          <w:lang w:eastAsia="hr-HR"/>
        </w:rPr>
        <w:t xml:space="preserve">         </w:t>
      </w:r>
    </w:p>
    <w:p w14:paraId="5D851679" w14:textId="2852B177" w:rsidR="008308E5" w:rsidRPr="001B3773" w:rsidRDefault="008308E5" w:rsidP="00680248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1B3773">
        <w:rPr>
          <w:rFonts w:asciiTheme="minorHAnsi" w:hAnsiTheme="minorHAnsi" w:cstheme="minorHAnsi"/>
          <w:bCs/>
          <w:lang w:eastAsia="hr-HR"/>
        </w:rPr>
        <w:t>Tablica 2.</w:t>
      </w:r>
      <w:r w:rsidRPr="001B3773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1B3773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1B3773">
        <w:rPr>
          <w:rFonts w:asciiTheme="minorHAnsi" w:hAnsiTheme="minorHAnsi" w:cstheme="minorHAnsi"/>
          <w:lang w:eastAsia="hr-HR"/>
        </w:rPr>
        <w:t>rashoda i izdataka u 202</w:t>
      </w:r>
      <w:r w:rsidR="001827B0">
        <w:rPr>
          <w:rFonts w:asciiTheme="minorHAnsi" w:hAnsiTheme="minorHAnsi" w:cstheme="minorHAnsi"/>
          <w:lang w:eastAsia="hr-HR"/>
        </w:rPr>
        <w:t>4</w:t>
      </w:r>
      <w:r w:rsidRPr="001B3773">
        <w:rPr>
          <w:rFonts w:asciiTheme="minorHAnsi" w:hAnsiTheme="minorHAnsi" w:cstheme="minorHAnsi"/>
          <w:lang w:eastAsia="hr-HR"/>
        </w:rPr>
        <w:t>.godini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134"/>
        <w:gridCol w:w="1134"/>
      </w:tblGrid>
      <w:tr w:rsidR="008308E5" w:rsidRPr="001B3773" w14:paraId="79E48BBE" w14:textId="77777777" w:rsidTr="00D914F7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52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B00" w14:textId="446D96E1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1827B0">
              <w:rPr>
                <w:rFonts w:asciiTheme="minorHAnsi" w:hAnsiTheme="minorHAnsi" w:cstheme="minorHAnsi"/>
                <w:lang w:eastAsia="hr-HR"/>
              </w:rPr>
              <w:t>4</w:t>
            </w:r>
            <w:r w:rsidRPr="001B3773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757" w14:textId="5934BE16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Izvršenje 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01.01.202</w:t>
            </w:r>
            <w:r w:rsidR="001827B0">
              <w:rPr>
                <w:rFonts w:asciiTheme="minorHAnsi" w:hAnsiTheme="minorHAnsi" w:cstheme="minorHAnsi"/>
                <w:lang w:eastAsia="hr-HR"/>
              </w:rPr>
              <w:t>4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.-3</w:t>
            </w:r>
            <w:r w:rsidR="001827B0">
              <w:rPr>
                <w:rFonts w:asciiTheme="minorHAnsi" w:hAnsiTheme="minorHAnsi" w:cstheme="minorHAnsi"/>
                <w:lang w:eastAsia="hr-HR"/>
              </w:rPr>
              <w:t>0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="001827B0">
              <w:rPr>
                <w:rFonts w:asciiTheme="minorHAnsi" w:hAnsiTheme="minorHAnsi" w:cstheme="minorHAnsi"/>
                <w:lang w:eastAsia="hr-HR"/>
              </w:rPr>
              <w:t>06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Pr="001B3773">
              <w:rPr>
                <w:rFonts w:asciiTheme="minorHAnsi" w:hAnsiTheme="minorHAnsi" w:cstheme="minorHAnsi"/>
                <w:lang w:eastAsia="hr-HR"/>
              </w:rPr>
              <w:t>202</w:t>
            </w:r>
            <w:r w:rsidR="001827B0">
              <w:rPr>
                <w:rFonts w:asciiTheme="minorHAnsi" w:hAnsiTheme="minorHAnsi" w:cstheme="minorHAnsi"/>
                <w:lang w:eastAsia="hr-HR"/>
              </w:rPr>
              <w:t>4</w:t>
            </w:r>
            <w:r w:rsidRPr="001B3773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45D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Indeks izvršenja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2DF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Udio u izvršenju</w:t>
            </w:r>
          </w:p>
        </w:tc>
      </w:tr>
      <w:tr w:rsidR="008308E5" w:rsidRPr="001B3773" w14:paraId="006F1B85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3D8" w14:textId="77777777" w:rsidR="008308E5" w:rsidRPr="001B3773" w:rsidRDefault="008308E5" w:rsidP="00D914F7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DFE" w14:textId="25359256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1.</w:t>
            </w:r>
            <w:r w:rsidR="002968C6">
              <w:rPr>
                <w:rFonts w:asciiTheme="minorHAnsi" w:hAnsiTheme="minorHAnsi" w:cstheme="minorHAnsi"/>
                <w:b/>
                <w:lang w:eastAsia="hr-HR"/>
              </w:rPr>
              <w:t>2</w:t>
            </w:r>
            <w:r w:rsidR="001827B0">
              <w:rPr>
                <w:rFonts w:asciiTheme="minorHAnsi" w:hAnsiTheme="minorHAnsi" w:cstheme="minorHAnsi"/>
                <w:b/>
                <w:lang w:eastAsia="hr-HR"/>
              </w:rPr>
              <w:t>16.450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206" w14:textId="0AF81964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747.284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779" w14:textId="4EAC926B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7E2" w14:textId="77777777" w:rsidR="008308E5" w:rsidRPr="001B3773" w:rsidRDefault="008308E5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8308E5" w:rsidRPr="001B3773" w14:paraId="27754378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ECE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753C" w14:textId="68CE4AF6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999.110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6048" w14:textId="2F27BB2D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604.158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9B3" w14:textId="6D9D581B" w:rsidR="008308E5" w:rsidRPr="001B3773" w:rsidRDefault="001827B0" w:rsidP="001827B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ACB4" w14:textId="390A11A9" w:rsidR="008308E5" w:rsidRPr="001B3773" w:rsidRDefault="002968C6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</w:t>
            </w:r>
            <w:r w:rsidR="001827B0">
              <w:rPr>
                <w:rFonts w:asciiTheme="minorHAnsi" w:hAnsiTheme="minorHAnsi" w:cstheme="minorHAnsi"/>
                <w:lang w:eastAsia="hr-HR"/>
              </w:rPr>
              <w:t>1</w:t>
            </w:r>
          </w:p>
        </w:tc>
      </w:tr>
      <w:tr w:rsidR="008308E5" w:rsidRPr="001B3773" w14:paraId="0894DCC3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069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605E" w14:textId="0D2F0FF4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197.000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AFEB" w14:textId="743BCA34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141.195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5F0" w14:textId="049A6FC1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A50" w14:textId="5F696182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18,8</w:t>
            </w:r>
          </w:p>
        </w:tc>
      </w:tr>
      <w:tr w:rsidR="008308E5" w:rsidRPr="001B3773" w14:paraId="305AA9A1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551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244" w14:textId="14C44F32" w:rsidR="008308E5" w:rsidRPr="001B3773" w:rsidRDefault="002968C6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70</w:t>
            </w:r>
            <w:r w:rsidR="001827B0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A5D9" w14:textId="26787747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526" w14:textId="6A7EA790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B8F0" w14:textId="6C40A278" w:rsidR="008308E5" w:rsidRPr="001B3773" w:rsidRDefault="002968C6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A82091" w:rsidRPr="001B3773" w14:paraId="4B4C3B2A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422F" w14:textId="77777777" w:rsidR="00A82091" w:rsidRPr="001B3773" w:rsidRDefault="00A82091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BD7E" w14:textId="59B90FD3" w:rsidR="00A82091" w:rsidRPr="001B3773" w:rsidRDefault="002968C6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8.760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825C" w14:textId="68F2350D" w:rsidR="00A82091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95E" w14:textId="54997B26" w:rsidR="00A82091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ABBD" w14:textId="74125CF7" w:rsidR="00A82091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8308E5" w:rsidRPr="001B3773" w14:paraId="6D72C612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9B5D" w14:textId="77777777" w:rsidR="008308E5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Ostali rashodi-t</w:t>
            </w:r>
            <w:r w:rsidR="008308E5" w:rsidRPr="001B3773">
              <w:rPr>
                <w:rFonts w:asciiTheme="minorHAnsi" w:hAnsiTheme="minorHAnsi" w:cstheme="minorHAnsi"/>
                <w:lang w:eastAsia="hr-HR"/>
              </w:rPr>
              <w:t>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2836" w14:textId="07FB3267" w:rsidR="008308E5" w:rsidRPr="001B3773" w:rsidRDefault="00BC338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</w:t>
            </w:r>
            <w:r w:rsidR="001827B0">
              <w:rPr>
                <w:rFonts w:asciiTheme="minorHAnsi" w:hAnsiTheme="minorHAnsi" w:cstheme="minorHAnsi"/>
                <w:lang w:eastAsia="hr-H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68E5" w14:textId="42035159" w:rsidR="008308E5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BC1" w14:textId="358C3E51" w:rsidR="008308E5" w:rsidRPr="001B3773" w:rsidRDefault="00BC338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E0E7" w14:textId="6C0FF999" w:rsidR="008308E5" w:rsidRPr="001B3773" w:rsidRDefault="002968C6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A82091" w:rsidRPr="001B3773" w14:paraId="71424479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9DAB" w14:textId="77777777" w:rsidR="00A82091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9026" w14:textId="0A939B2D" w:rsidR="00A82091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1</w:t>
            </w:r>
            <w:r w:rsidR="001827B0">
              <w:rPr>
                <w:rFonts w:asciiTheme="minorHAnsi" w:hAnsiTheme="minorHAnsi" w:cstheme="minorHAnsi"/>
                <w:lang w:eastAsia="hr-HR"/>
              </w:rPr>
              <w:t>0.220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D248" w14:textId="11269B6D" w:rsidR="00A82091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CAC7" w14:textId="29D2AB32" w:rsidR="00A82091" w:rsidRPr="001B3773" w:rsidRDefault="001827B0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1E18" w14:textId="3AB431B6" w:rsidR="00A82091" w:rsidRPr="001B3773" w:rsidRDefault="002968C6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</w:t>
            </w:r>
            <w:r w:rsidR="001827B0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</w:tbl>
    <w:p w14:paraId="4899108F" w14:textId="77777777" w:rsidR="008308E5" w:rsidRPr="000D5713" w:rsidRDefault="008308E5" w:rsidP="008308E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3FC9F870" w14:textId="766E04A2" w:rsidR="00986A32" w:rsidRDefault="00445B9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Najveći udio u izvršenju rashoda 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poslovanja imaju rashodi za zaposlene i to </w:t>
      </w:r>
      <w:r w:rsidR="00BC3381">
        <w:rPr>
          <w:rFonts w:asciiTheme="minorHAnsi" w:hAnsiTheme="minorHAnsi" w:cstheme="minorHAnsi"/>
          <w:sz w:val="22"/>
          <w:szCs w:val="22"/>
          <w:shd w:val="clear" w:color="auto" w:fill="FFFFFF"/>
        </w:rPr>
        <w:t>81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>, %, zatim slijede materijalni rashodi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C3381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8,8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%, dok ostali rashodi nemaju značajniji utjecaj na poslovanje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24CC504" w14:textId="3529BA4C" w:rsidR="00986A32" w:rsidRDefault="00986A32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nabavu dugotrajne imovine odnose se na nabavu knjiga i opreme.</w:t>
      </w:r>
    </w:p>
    <w:p w14:paraId="57D9EFD7" w14:textId="77777777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FED1850" w14:textId="67322194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w:lastRenderedPageBreak/>
        <w:drawing>
          <wp:inline distT="0" distB="0" distL="0" distR="0" wp14:anchorId="093F1DDC" wp14:editId="05380096">
            <wp:extent cx="6096000" cy="50292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AC2BA0" w14:textId="3EDCEB5F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Grafikon 3. Usporedba planiranih i izvršenih rashoda 3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C7B85D1" w14:textId="77777777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EFD9B2" w14:textId="06D2C47C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w:drawing>
          <wp:inline distT="0" distB="0" distL="0" distR="0" wp14:anchorId="5EC87BD9" wp14:editId="5FC79A32">
            <wp:extent cx="5486400" cy="32004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7C338A3" w14:textId="3F8788F4" w:rsidR="00D418A7" w:rsidRDefault="00D418A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>Grafikon 4. Udio 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izvršenim</w:t>
      </w:r>
      <w:r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rashodima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F13676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0B1293E" w14:textId="7D971310" w:rsidR="007B458E" w:rsidRPr="00D418A7" w:rsidRDefault="00D418A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 </w:t>
      </w:r>
    </w:p>
    <w:p w14:paraId="2D60625A" w14:textId="77777777" w:rsidR="00C75EC8" w:rsidRDefault="00C75EC8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26039491" w14:textId="6187AF63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2.4. Račun prihoda i rashoda – prema izvorima financiranja</w:t>
      </w:r>
    </w:p>
    <w:p w14:paraId="7267349F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7C5AAF92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shd w:val="clear" w:color="auto" w:fill="FFFFFF"/>
        </w:rPr>
        <w:t>Prikazani su prihodi i rashodi po pojedinom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izvoru financiranja i podaci o prenesenom višku/manjku iz prethodne godine. </w:t>
      </w:r>
    </w:p>
    <w:p w14:paraId="3E0E5EF6" w14:textId="4EE733C8" w:rsidR="00EA7114" w:rsidRP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Vrijednosno najznačajniji prihodi, a time i rashodi su iz izvora pomoći koji obuhvaćaju plaće i naknade zaposlenika, prehranu učenika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sl., nakon pomoći tu su  sredstva općih prihoda i primitaka (osnivač </w:t>
      </w:r>
      <w:r w:rsidR="00516F74">
        <w:rPr>
          <w:rFonts w:asciiTheme="minorHAnsi" w:hAnsiTheme="minorHAnsi" w:cstheme="minorHAnsi"/>
          <w:sz w:val="22"/>
          <w:szCs w:val="22"/>
          <w:shd w:val="clear" w:color="auto" w:fill="FFFFFF"/>
        </w:rPr>
        <w:t>KZŽ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prihodi za posebne namjene (terenska nastava i izleti učenika), </w:t>
      </w:r>
      <w:r w:rsidR="00516F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donacije i 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vlastit</w:t>
      </w:r>
      <w:r w:rsidR="00A67047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prihodi.</w:t>
      </w:r>
    </w:p>
    <w:p w14:paraId="485DE500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526FE7A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</w:t>
      </w:r>
      <w:r w:rsid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5</w:t>
      </w: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Rashodi prema funkcijskoj klasifikaciji</w:t>
      </w:r>
    </w:p>
    <w:p w14:paraId="53FD611D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3A838AB9" w14:textId="1DC93399" w:rsidR="00213A23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Brojčana oznaka funkcijske klasifikacije veže se uz rashode iskazane prema računima ekonomske klasifikacije svake aktivnosti i projekta. Klasifikacija naše škole je 0912-osnovno obrazovanje. Indeks izvršenja za razdoblje 01.01.-</w:t>
      </w:r>
      <w:r w:rsidR="00CE6F1C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E30816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30816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E30816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u odnosu na plan je </w:t>
      </w:r>
      <w:r w:rsidR="00E30816">
        <w:rPr>
          <w:rFonts w:asciiTheme="minorHAnsi" w:hAnsiTheme="minorHAnsi" w:cstheme="minorHAnsi"/>
          <w:sz w:val="22"/>
          <w:szCs w:val="22"/>
          <w:shd w:val="clear" w:color="auto" w:fill="FFFFFF"/>
        </w:rPr>
        <w:t>60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636DB857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45D958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2.6. Račun financiranja prema ekonomskoj klasifikaciji i izvorima financiranja</w:t>
      </w:r>
    </w:p>
    <w:p w14:paraId="29AFC27D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Predaje se prazni, škola nema primitaka od financijske imovine i zaduživanja ni izdataka za financijsku imovinu i otplate zajmova.</w:t>
      </w:r>
    </w:p>
    <w:p w14:paraId="56C4EDC2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E20CBB" w14:textId="77777777" w:rsidR="00213A23" w:rsidRDefault="00213A23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13A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3. OBRAZLOŽENJE POSEBNOG DIJELA IZVJEŠTAJA O IZVRŠENJU FINANCIJSKOG PLANA</w:t>
      </w:r>
    </w:p>
    <w:p w14:paraId="0A0F594C" w14:textId="77777777" w:rsidR="007A45B7" w:rsidRDefault="007A45B7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9E179A7" w14:textId="43FE4AA9" w:rsidR="007A45B7" w:rsidRDefault="004718F1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1000</w:t>
      </w:r>
      <w:r w:rsidR="007A45B7" w:rsidRPr="007A45B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Program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: OSNOVNO OBRAZOVANJE-ZAKONSKI STANDARD</w:t>
      </w:r>
    </w:p>
    <w:p w14:paraId="0D8309FE" w14:textId="77777777" w:rsidR="004718F1" w:rsidRDefault="004718F1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2A04A242" w14:textId="59489E81" w:rsidR="007A45B7" w:rsidRPr="00DA26B5" w:rsidRDefault="004718F1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A102000  Redovni poslovi ustanova osnovnog obrazovanja</w:t>
      </w:r>
    </w:p>
    <w:p w14:paraId="0ED1865C" w14:textId="2A41F900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</w:t>
      </w:r>
      <w:r w:rsidR="004718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1.3 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ecentralizacija</w:t>
      </w:r>
    </w:p>
    <w:p w14:paraId="171C3CBC" w14:textId="3FFA34D7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osiguravanje uvjeta za kvalitetno obrazovanje učenika</w:t>
      </w:r>
      <w:r w:rsidR="00A715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poboljšanje kvalitete rada zaposlenika</w:t>
      </w:r>
      <w:r w:rsidR="004718F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152AC73" w14:textId="53CB797C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Program obuhvaća sljedeće: financiranje službenih putovanja i stručnog osposobljavanja zaposlenika, financiranje rashoda za materijal i energiju, rashoda za usluge ( tekuće i investicijsko održavanje objekata i opreme, komunalne usluge) te drugih rashoda neophodnih za rad i funkcioniranje školske ustanove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njenih zaposlenika i učenika.</w:t>
      </w:r>
    </w:p>
    <w:p w14:paraId="4BAE7B70" w14:textId="17339D4E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Plan za 202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godinu iznosi </w:t>
      </w:r>
      <w:r w:rsidR="004718F1">
        <w:rPr>
          <w:rFonts w:asciiTheme="minorHAnsi" w:hAnsiTheme="minorHAnsi" w:cstheme="minorHAnsi"/>
          <w:sz w:val="22"/>
          <w:szCs w:val="22"/>
          <w:shd w:val="clear" w:color="auto" w:fill="FFFFFF"/>
        </w:rPr>
        <w:t>36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718F1">
        <w:rPr>
          <w:rFonts w:asciiTheme="minorHAnsi" w:hAnsiTheme="minorHAnsi" w:cstheme="minorHAnsi"/>
          <w:sz w:val="22"/>
          <w:szCs w:val="22"/>
          <w:shd w:val="clear" w:color="auto" w:fill="FFFFFF"/>
        </w:rPr>
        <w:t>060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€, a s 3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ostvareno 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26</w:t>
      </w:r>
      <w:r w:rsidR="004718F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359</w:t>
      </w:r>
      <w:r w:rsidR="004718F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67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odnosno 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73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7FC25259" w14:textId="582423C6" w:rsidR="004750CF" w:rsidRDefault="004750CF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D7D544B" w14:textId="4C17BAA1" w:rsidR="004718F1" w:rsidRDefault="004718F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55F9638" w14:textId="7F12B31D" w:rsidR="004718F1" w:rsidRDefault="004718F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341F415" w14:textId="5CE04F4F" w:rsidR="004718F1" w:rsidRDefault="004718F1" w:rsidP="004718F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1003</w:t>
      </w:r>
      <w:r w:rsidRPr="007A45B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Program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: DOPUNSKI NASTAVNI I VANNASTAVNI PROGRAM ŠKOLA I OBRAZOVNIH INSTITUCIJA</w:t>
      </w:r>
    </w:p>
    <w:p w14:paraId="39F77850" w14:textId="262A45D5" w:rsidR="004718F1" w:rsidRDefault="003B6807" w:rsidP="004718F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T1</w:t>
      </w:r>
      <w:r w:rsidR="004718F1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</w:t>
      </w:r>
      <w:r w:rsidR="004718F1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000  Dopunski nastavni i vannastavni program škola i obrazovnih institucija</w:t>
      </w:r>
    </w:p>
    <w:p w14:paraId="0B6E5866" w14:textId="376BF762" w:rsidR="004718F1" w:rsidRDefault="004718F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 1.1. Opći prihodi i primici-izvorna sredstva KZŽ</w:t>
      </w:r>
    </w:p>
    <w:p w14:paraId="1C35DE2C" w14:textId="411BF7E1" w:rsidR="004718F1" w:rsidRDefault="004718F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A26B5">
        <w:rPr>
          <w:rFonts w:asciiTheme="minorHAnsi" w:hAnsiTheme="minorHAnsi" w:cstheme="minorHAnsi"/>
          <w:sz w:val="22"/>
          <w:szCs w:val="22"/>
          <w:shd w:val="clear" w:color="auto" w:fill="FFFFFF"/>
        </w:rPr>
        <w:t>Program obuhvaća financiranje troškova natjecanja i dječjih radionica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materijalnih rashoda.</w:t>
      </w:r>
    </w:p>
    <w:p w14:paraId="5ACB3D82" w14:textId="42038569" w:rsidR="00DA26B5" w:rsidRDefault="00DA26B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C21D72D" w14:textId="55C4A01F" w:rsidR="00DA26B5" w:rsidRPr="00DA26B5" w:rsidRDefault="00DA26B5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DA26B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A102006 Program građanskog odgoja u školama</w:t>
      </w:r>
    </w:p>
    <w:p w14:paraId="5F622046" w14:textId="5B17402F" w:rsidR="004718F1" w:rsidRDefault="00DA26B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 1.1. Opći prihodi i primici-izvorna sredstva KZŽ</w:t>
      </w:r>
    </w:p>
    <w:p w14:paraId="26062870" w14:textId="3B70D53A" w:rsidR="00DA26B5" w:rsidRDefault="00DA26B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Aktivnost obuhvaća troškove ugovora o djelu za predavača građanskog odgoja.</w:t>
      </w:r>
    </w:p>
    <w:p w14:paraId="72B0F280" w14:textId="09540FF0" w:rsidR="00DA26B5" w:rsidRDefault="00DA26B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8F43257" w14:textId="5CF79594" w:rsidR="00DA26B5" w:rsidRDefault="00DA26B5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DA26B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K104000 Dopunska sredstva za izgradnju, dogradnj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u</w:t>
      </w:r>
      <w:r w:rsidRPr="00DA26B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i adaptaciju škola</w:t>
      </w:r>
    </w:p>
    <w:p w14:paraId="21324275" w14:textId="5DBA91DA" w:rsidR="00CE7922" w:rsidRDefault="00CE7922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 1.1. Opći prihodi i primici-izvorna sredstva KZŽ</w:t>
      </w:r>
    </w:p>
    <w:p w14:paraId="28FD552D" w14:textId="597A3495" w:rsidR="00DA26B5" w:rsidRDefault="00DA26B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Projekt obuhvaća financiranje dokumentacije za izgradnju školske dvorane.</w:t>
      </w:r>
    </w:p>
    <w:p w14:paraId="4040108B" w14:textId="74C78B38" w:rsidR="00CE7922" w:rsidRDefault="00CE7922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634E4AC" w14:textId="563561BD" w:rsidR="00CE7922" w:rsidRDefault="00CE7922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8F385E5" w14:textId="11649429" w:rsidR="00CE7922" w:rsidRDefault="00CE7922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A94A6EF" w14:textId="78B71860" w:rsidR="00CE7922" w:rsidRPr="00CE7922" w:rsidRDefault="00CE7922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CE792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T103000 Dopunska sredstva za materijalne rashode i opremu škola</w:t>
      </w:r>
    </w:p>
    <w:p w14:paraId="6B7C06EF" w14:textId="77777777" w:rsidR="00CE7922" w:rsidRDefault="00CE7922" w:rsidP="00CE7922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Izvor financiranja 1.1. Opći prihodi i primici-izvorna sredstva KZŽ</w:t>
      </w:r>
    </w:p>
    <w:p w14:paraId="232F0F51" w14:textId="508EC549" w:rsidR="00CE7922" w:rsidRDefault="0004222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Projekt obuhvaća financiranje materijalnih troškova, ugovor o djelu za e tehničara koji tijekom godine pomaže učiteljima pri korištenju informatičke opreme</w:t>
      </w:r>
      <w:r w:rsidR="003B680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3348D40" w14:textId="321BA392" w:rsidR="0004222B" w:rsidRDefault="0004222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BEBE916" w14:textId="4459A751" w:rsidR="0004222B" w:rsidRDefault="0004222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A1CF301" w14:textId="6A391639" w:rsidR="0004222B" w:rsidRDefault="0004222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B1687A3" w14:textId="57A68327" w:rsidR="0004222B" w:rsidRDefault="0004222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04222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T103025 Školska shema 6</w:t>
      </w:r>
    </w:p>
    <w:p w14:paraId="4CFE6A0F" w14:textId="77777777" w:rsidR="0004222B" w:rsidRDefault="0004222B" w:rsidP="0004222B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4222B"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5.7. Ministarstvo-prijenos EU</w:t>
      </w:r>
    </w:p>
    <w:p w14:paraId="0B3ED834" w14:textId="55CE5EB2" w:rsidR="0004222B" w:rsidRPr="0004222B" w:rsidRDefault="0004222B" w:rsidP="0004222B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04222B">
        <w:rPr>
          <w:rFonts w:asciiTheme="minorHAnsi" w:hAnsiTheme="minorHAnsi" w:cstheme="minorHAnsi"/>
          <w:sz w:val="22"/>
          <w:szCs w:val="22"/>
          <w:shd w:val="clear" w:color="auto" w:fill="FFFFFF"/>
        </w:rPr>
        <w:t>Program se odnosi na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Shemu školskog voća i mlijeka kojom se jednom tjedno osigurava voće i mlijeko za sve učenike škole.</w:t>
      </w:r>
      <w:r w:rsidR="001A10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2A024988" w14:textId="67E37D36" w:rsidR="0004222B" w:rsidRDefault="0004222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1D47700A" w14:textId="58A1E6EE" w:rsidR="00D979A8" w:rsidRDefault="00D979A8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5625143F" w14:textId="09F6068A" w:rsidR="00D979A8" w:rsidRDefault="00D979A8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 102001 Financiranje -ostali rashodi OŠ</w:t>
      </w:r>
    </w:p>
    <w:p w14:paraId="3E658A84" w14:textId="587FAE23" w:rsidR="00D979A8" w:rsidRDefault="00D979A8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354859CB" w14:textId="4F9CDCAA" w:rsidR="00D979A8" w:rsidRDefault="0052049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20497"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 2.1.1 Donacija</w:t>
      </w:r>
    </w:p>
    <w:p w14:paraId="400CC4B4" w14:textId="77777777" w:rsidR="00520497" w:rsidRDefault="00520497" w:rsidP="00520497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poboljšavanje uvjeta za kvalitetno obrazovanje svih učenika</w:t>
      </w:r>
    </w:p>
    <w:p w14:paraId="4FCA5879" w14:textId="5672A3F0" w:rsidR="00520497" w:rsidRDefault="0052049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Program obuhvaća pokrivanje rashoda za školske izlete i terenske nastave te rashode za nabavu  inventara. Prikupljene su donacije od trgovačkih društava</w:t>
      </w:r>
      <w:r w:rsidR="00273E8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6F6C39F" w14:textId="43BB649B" w:rsidR="00640F5F" w:rsidRDefault="00640F5F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70F70D8" w14:textId="517F8ED3" w:rsidR="00640F5F" w:rsidRPr="00520497" w:rsidRDefault="00640F5F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 3.1.1 Vlastiti prihodi- prihodi od iznajmljivanja školskog prostora</w:t>
      </w:r>
    </w:p>
    <w:p w14:paraId="38AD23D0" w14:textId="77777777" w:rsidR="007807C0" w:rsidRDefault="007807C0" w:rsidP="007807C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poboljšavanje uvjeta rada zaposlenika te kvalitetno obrazovanje svih učenika</w:t>
      </w:r>
    </w:p>
    <w:p w14:paraId="79F7E285" w14:textId="07082062" w:rsidR="00DA26B5" w:rsidRDefault="007807C0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 obuhvaća pokrivanje rashoda za osiguranje škole, reprezentaciju te ostalih rashoda koji se ne pokrivaju decentraliziranim sredstvima. </w:t>
      </w:r>
    </w:p>
    <w:p w14:paraId="107540E7" w14:textId="7D479270" w:rsidR="007807C0" w:rsidRDefault="007807C0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DC9DF8E" w14:textId="654F4D91" w:rsidR="007807C0" w:rsidRDefault="007807C0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 4.3.1 Posebne namjene</w:t>
      </w:r>
    </w:p>
    <w:p w14:paraId="565D3B2D" w14:textId="77777777" w:rsidR="007807C0" w:rsidRDefault="007807C0" w:rsidP="007807C0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osiguravanje uvjeta za kvalitetno obrazovanje svih učenika</w:t>
      </w:r>
    </w:p>
    <w:p w14:paraId="2E5F8EC1" w14:textId="55798723" w:rsidR="007807C0" w:rsidRPr="0004222B" w:rsidRDefault="007807C0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rashode za terenske nastave i izlete učenika, prihodi se prikupljaju od roditelja</w:t>
      </w:r>
      <w:r w:rsidR="00EA548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kamate na depozite po viđenju.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Tu su prikupljena i sredstva za prehranu učenika za  2022. godinu koji će se koristiti za poboljšanje uvjeta rada školskih kuhinja. </w:t>
      </w:r>
    </w:p>
    <w:p w14:paraId="2165C9E0" w14:textId="73E19A3E" w:rsidR="004718F1" w:rsidRDefault="004718F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805AC1A" w14:textId="0CA86985" w:rsidR="00EA5489" w:rsidRPr="00EA5489" w:rsidRDefault="00EA5489" w:rsidP="00EA548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 5.2.1 Ministarstvo-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Pomoći- tekuće pomoći proračunskim korisnicima iz proračuna koji im nije nadležan</w:t>
      </w:r>
    </w:p>
    <w:p w14:paraId="73B9B4DC" w14:textId="1209166C" w:rsidR="00EA5489" w:rsidRDefault="00EA5489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Osnovni cilj:  financiranje troškova plaća i ostalih materijalnih prava zaposlenika, financiranje prehrane za sve učenike škole, financiranje nabave udžbenika, </w:t>
      </w:r>
      <w:proofErr w:type="spellStart"/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kniiga</w:t>
      </w:r>
      <w:proofErr w:type="spellEnd"/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školsku </w:t>
      </w:r>
      <w:r w:rsidR="009F4B6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knjižnicu, sufinanciranje Projekata iz nadležnosti MZO,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nabave higijenskih potrepština za djevojčice</w:t>
      </w:r>
      <w:r w:rsidR="009F4B6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sufinanciranje troškova aktiva.</w:t>
      </w:r>
    </w:p>
    <w:p w14:paraId="365C41AD" w14:textId="26CB6CF4" w:rsidR="00EA5489" w:rsidRDefault="00EA5489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 za plaće i ostalih materijalnih prava zaposlenika, te financiranje troškova prehrane za sve učenike škole iz Državnog proračuna</w:t>
      </w:r>
      <w:r w:rsidR="009F4B6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nabava higijenskih potrepština za što su nam Odlukom Vlade RH doznačena sredstva na račun škole</w:t>
      </w:r>
      <w:r w:rsidR="009F4B6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n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abava udžbenika za sve učenike škole</w:t>
      </w:r>
      <w:r w:rsidR="009F4B6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nabava knjiga za školsku knjižnicu, Projekti:  Priče iz kovčega, </w:t>
      </w:r>
      <w:proofErr w:type="spellStart"/>
      <w:r w:rsidR="009F4B6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Steam</w:t>
      </w:r>
      <w:proofErr w:type="spellEnd"/>
      <w:r w:rsidR="009F4B6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istraživači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</w:t>
      </w:r>
    </w:p>
    <w:p w14:paraId="09458646" w14:textId="4B3CEE57" w:rsidR="001131F3" w:rsidRDefault="001131F3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7B90614F" w14:textId="1DA690DF" w:rsidR="001131F3" w:rsidRDefault="001131F3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 5.4.1 JLS-Općina Krapinske Toplice- Pomoći</w:t>
      </w:r>
    </w:p>
    <w:p w14:paraId="0542EDE0" w14:textId="4563B687" w:rsidR="001131F3" w:rsidRDefault="001131F3" w:rsidP="001131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 odnosno poboljšanje standarda.</w:t>
      </w:r>
    </w:p>
    <w:p w14:paraId="4A20B7C5" w14:textId="651F856F" w:rsidR="009755B4" w:rsidRDefault="001131F3" w:rsidP="009755B4">
      <w:r>
        <w:rPr>
          <w:rFonts w:asciiTheme="minorHAnsi" w:hAnsiTheme="minorHAnsi" w:cstheme="minorHAnsi"/>
          <w:sz w:val="22"/>
          <w:szCs w:val="22"/>
        </w:rPr>
        <w:t xml:space="preserve">Program obuhvaća sufinanciranje materijalnih troškova za koje nisu dostatna decentralizirana sredstva. Sredstvima se planira </w:t>
      </w:r>
      <w:r w:rsidRPr="009755B4">
        <w:rPr>
          <w:rFonts w:asciiTheme="minorHAnsi" w:hAnsiTheme="minorHAnsi" w:cstheme="minorHAnsi"/>
          <w:sz w:val="22"/>
          <w:szCs w:val="22"/>
        </w:rPr>
        <w:t xml:space="preserve">financirati </w:t>
      </w:r>
      <w:r w:rsidR="009755B4" w:rsidRPr="009755B4">
        <w:rPr>
          <w:rFonts w:asciiTheme="minorHAnsi" w:hAnsiTheme="minorHAnsi" w:cstheme="minorHAnsi"/>
          <w:sz w:val="22"/>
          <w:szCs w:val="22"/>
        </w:rPr>
        <w:t>materijalni i financijski troškovi, nabava opreme i investicijsko održavanje.</w:t>
      </w:r>
    </w:p>
    <w:p w14:paraId="1D5E3642" w14:textId="6436E44B" w:rsidR="001131F3" w:rsidRDefault="001131F3" w:rsidP="001131F3">
      <w:pPr>
        <w:rPr>
          <w:rFonts w:asciiTheme="minorHAnsi" w:hAnsiTheme="minorHAnsi" w:cstheme="minorHAnsi"/>
          <w:sz w:val="22"/>
          <w:szCs w:val="22"/>
        </w:rPr>
      </w:pPr>
    </w:p>
    <w:p w14:paraId="0C50571A" w14:textId="6B4D4ACD" w:rsidR="00EA5489" w:rsidRDefault="004D4716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 5.7.1 Ministarstvo-prijenos EU</w:t>
      </w:r>
    </w:p>
    <w:p w14:paraId="0F3B8489" w14:textId="162849FA" w:rsidR="004D4716" w:rsidRDefault="004D4716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Osnovni cilj: financiranje troškova ugovora o djelu i troškova službenih putovanja sudionika Projekta Daroviti u fokusu. </w:t>
      </w:r>
    </w:p>
    <w:p w14:paraId="22AAB990" w14:textId="054EE764" w:rsidR="004D4716" w:rsidRDefault="004D4716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Program obuhvaća pokrivanje rashoda za ugovore o djelu i troškove službenih putovanja. </w:t>
      </w:r>
    </w:p>
    <w:p w14:paraId="012A3E57" w14:textId="77777777" w:rsidR="00EA5489" w:rsidRDefault="00EA5489" w:rsidP="00EA5489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3149A081" w14:textId="77777777" w:rsidR="004718F1" w:rsidRDefault="004718F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3298AAD" w14:textId="77777777" w:rsidR="00A61175" w:rsidRDefault="00A61175" w:rsidP="005A30C4">
      <w:pPr>
        <w:rPr>
          <w:rFonts w:asciiTheme="minorHAnsi" w:hAnsiTheme="minorHAnsi" w:cstheme="minorHAnsi"/>
          <w:sz w:val="22"/>
          <w:szCs w:val="22"/>
        </w:rPr>
      </w:pPr>
    </w:p>
    <w:p w14:paraId="37512BE7" w14:textId="7627CE9B" w:rsidR="00A61175" w:rsidRDefault="00A61175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68DB">
        <w:rPr>
          <w:rFonts w:asciiTheme="minorHAnsi" w:hAnsiTheme="minorHAnsi" w:cstheme="minorHAnsi"/>
          <w:b/>
          <w:bCs/>
          <w:sz w:val="22"/>
          <w:szCs w:val="22"/>
        </w:rPr>
        <w:t>4. POSEBNI IZVJEŠTAJI</w:t>
      </w:r>
    </w:p>
    <w:p w14:paraId="71F4A71E" w14:textId="77777777" w:rsidR="008A0500" w:rsidRDefault="008A0500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F2B5D5" w14:textId="4F67DBD2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Izvještaj o korištenju sredstava fondova EU-u izvještajnom razdoblju </w:t>
      </w:r>
      <w:r w:rsidR="003F2E73">
        <w:rPr>
          <w:rFonts w:asciiTheme="minorHAnsi" w:hAnsiTheme="minorHAnsi" w:cstheme="minorHAnsi"/>
          <w:sz w:val="22"/>
          <w:szCs w:val="22"/>
        </w:rPr>
        <w:t>nije ostvareno.</w:t>
      </w:r>
    </w:p>
    <w:p w14:paraId="7B43619E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0AE9A742" w14:textId="6E165CE9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 Izvještaj o zaduživanju na domaćem i st</w:t>
      </w:r>
      <w:r w:rsidR="00FE21A1">
        <w:rPr>
          <w:rFonts w:asciiTheme="minorHAnsi" w:hAnsiTheme="minorHAnsi" w:cstheme="minorHAnsi"/>
          <w:sz w:val="22"/>
          <w:szCs w:val="22"/>
        </w:rPr>
        <w:t>ranom tržištu novca i kapitala-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4FD999FC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626B743D" w14:textId="2B1F735C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4.3. Izvještaj o danim zajmovima i potraživanjima </w:t>
      </w:r>
      <w:r w:rsidR="00FE21A1">
        <w:rPr>
          <w:rFonts w:asciiTheme="minorHAnsi" w:hAnsiTheme="minorHAnsi" w:cstheme="minorHAnsi"/>
          <w:sz w:val="22"/>
          <w:szCs w:val="22"/>
        </w:rPr>
        <w:t>po danim zajmovima-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0F086EE4" w14:textId="77777777" w:rsidR="00060B52" w:rsidRDefault="00060B52" w:rsidP="005A30C4">
      <w:pPr>
        <w:rPr>
          <w:rFonts w:asciiTheme="minorHAnsi" w:hAnsiTheme="minorHAnsi" w:cstheme="minorHAnsi"/>
          <w:sz w:val="22"/>
          <w:szCs w:val="22"/>
        </w:rPr>
      </w:pPr>
    </w:p>
    <w:p w14:paraId="269A44F8" w14:textId="5192D5BA" w:rsidR="00883AC6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4.4. Izvještaj o stanju potraživanja i dospjelih obveza te o stanju potencijalnih obveza po osnovi sudskih sporova</w:t>
      </w:r>
    </w:p>
    <w:p w14:paraId="091E238E" w14:textId="6446B009" w:rsidR="00060B52" w:rsidRDefault="00060B52" w:rsidP="005A30C4">
      <w:pPr>
        <w:rPr>
          <w:rFonts w:asciiTheme="minorHAnsi" w:hAnsiTheme="minorHAnsi" w:cstheme="minorHAnsi"/>
          <w:sz w:val="22"/>
          <w:szCs w:val="22"/>
        </w:rPr>
      </w:pPr>
    </w:p>
    <w:p w14:paraId="06DC44FB" w14:textId="4B4F0063" w:rsidR="00060B52" w:rsidRDefault="00060B52" w:rsidP="005A30C4">
      <w:pPr>
        <w:rPr>
          <w:rFonts w:asciiTheme="minorHAnsi" w:hAnsiTheme="minorHAnsi" w:cstheme="minorHAnsi"/>
          <w:sz w:val="22"/>
          <w:szCs w:val="22"/>
        </w:rPr>
      </w:pPr>
    </w:p>
    <w:p w14:paraId="30CEC070" w14:textId="06B966CD" w:rsidR="00060B52" w:rsidRDefault="00060B52" w:rsidP="005A30C4">
      <w:pPr>
        <w:rPr>
          <w:rFonts w:asciiTheme="minorHAnsi" w:hAnsiTheme="minorHAnsi" w:cstheme="minorHAnsi"/>
          <w:sz w:val="22"/>
          <w:szCs w:val="22"/>
        </w:rPr>
      </w:pPr>
    </w:p>
    <w:p w14:paraId="588E6413" w14:textId="69A2132D" w:rsidR="00060B52" w:rsidRDefault="00060B52" w:rsidP="00D06F33">
      <w:pPr>
        <w:rPr>
          <w:rFonts w:ascii="Calibri" w:hAnsi="Calibri" w:cs="Calibri"/>
          <w:iCs/>
          <w:sz w:val="22"/>
          <w:szCs w:val="22"/>
        </w:rPr>
      </w:pPr>
    </w:p>
    <w:p w14:paraId="09C6A33B" w14:textId="2470C7E8" w:rsidR="00060B52" w:rsidRDefault="00060B52" w:rsidP="00D06F33">
      <w:pPr>
        <w:rPr>
          <w:rFonts w:ascii="Calibri" w:hAnsi="Calibri" w:cs="Calibri"/>
          <w:iCs/>
          <w:sz w:val="22"/>
          <w:szCs w:val="22"/>
        </w:rPr>
      </w:pPr>
    </w:p>
    <w:p w14:paraId="15B1CEF9" w14:textId="615DE911" w:rsidR="00060B52" w:rsidRDefault="00060B52" w:rsidP="00D06F33">
      <w:pPr>
        <w:rPr>
          <w:rFonts w:ascii="Calibri" w:hAnsi="Calibri" w:cs="Calibri"/>
          <w:iCs/>
          <w:sz w:val="22"/>
          <w:szCs w:val="22"/>
        </w:rPr>
      </w:pPr>
    </w:p>
    <w:p w14:paraId="6AC31D5F" w14:textId="5A4AAA70" w:rsidR="00060B52" w:rsidRDefault="00060B52" w:rsidP="00D06F33">
      <w:pPr>
        <w:rPr>
          <w:rFonts w:ascii="Calibri" w:hAnsi="Calibri" w:cs="Calibri"/>
          <w:iCs/>
          <w:sz w:val="22"/>
          <w:szCs w:val="22"/>
        </w:rPr>
      </w:pPr>
    </w:p>
    <w:p w14:paraId="7D797E39" w14:textId="77777777" w:rsidR="00060B52" w:rsidRDefault="00060B52" w:rsidP="00D06F33">
      <w:pPr>
        <w:rPr>
          <w:rFonts w:ascii="Calibri" w:hAnsi="Calibri" w:cs="Calibri"/>
          <w:iCs/>
          <w:sz w:val="22"/>
          <w:szCs w:val="22"/>
        </w:rPr>
      </w:pPr>
    </w:p>
    <w:p w14:paraId="09C01616" w14:textId="73C8EF29" w:rsidR="004827D1" w:rsidRDefault="004827D1" w:rsidP="004362ED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Ravnatelj</w:t>
      </w:r>
      <w:r w:rsidR="009702AB">
        <w:rPr>
          <w:rFonts w:ascii="Calibri" w:hAnsi="Calibri" w:cs="Calibri"/>
          <w:iCs/>
          <w:sz w:val="22"/>
          <w:szCs w:val="22"/>
        </w:rPr>
        <w:t>:</w:t>
      </w:r>
    </w:p>
    <w:p w14:paraId="5FCE4B79" w14:textId="2A0B0A8F" w:rsidR="00C33C6D" w:rsidRPr="003F2E73" w:rsidRDefault="009702AB" w:rsidP="003F2E73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Samson </w:t>
      </w:r>
      <w:proofErr w:type="spellStart"/>
      <w:r>
        <w:rPr>
          <w:rFonts w:ascii="Calibri" w:hAnsi="Calibri" w:cs="Calibri"/>
          <w:iCs/>
          <w:sz w:val="22"/>
          <w:szCs w:val="22"/>
        </w:rPr>
        <w:t>Štibohar</w:t>
      </w:r>
      <w:proofErr w:type="spellEnd"/>
    </w:p>
    <w:sectPr w:rsidR="00C33C6D" w:rsidRPr="003F2E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FAF9" w14:textId="77777777" w:rsidR="009112D3" w:rsidRDefault="009112D3" w:rsidP="00A06C3C">
      <w:r>
        <w:separator/>
      </w:r>
    </w:p>
  </w:endnote>
  <w:endnote w:type="continuationSeparator" w:id="0">
    <w:p w14:paraId="5E03B09D" w14:textId="77777777" w:rsidR="009112D3" w:rsidRDefault="009112D3" w:rsidP="00A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75FD" w14:textId="77777777" w:rsidR="00A06C3C" w:rsidRDefault="00A06C3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289836"/>
      <w:docPartObj>
        <w:docPartGallery w:val="Page Numbers (Bottom of Page)"/>
        <w:docPartUnique/>
      </w:docPartObj>
    </w:sdtPr>
    <w:sdtEndPr/>
    <w:sdtContent>
      <w:p w14:paraId="7A0554E0" w14:textId="4DCF4033" w:rsidR="00A06C3C" w:rsidRDefault="00A06C3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A465" w14:textId="77777777" w:rsidR="00A06C3C" w:rsidRDefault="00A06C3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CB20" w14:textId="77777777" w:rsidR="00A06C3C" w:rsidRDefault="00A06C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B316" w14:textId="77777777" w:rsidR="009112D3" w:rsidRDefault="009112D3" w:rsidP="00A06C3C">
      <w:r>
        <w:separator/>
      </w:r>
    </w:p>
  </w:footnote>
  <w:footnote w:type="continuationSeparator" w:id="0">
    <w:p w14:paraId="0069D73A" w14:textId="77777777" w:rsidR="009112D3" w:rsidRDefault="009112D3" w:rsidP="00A0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CE6" w14:textId="77777777" w:rsidR="00A06C3C" w:rsidRDefault="00A06C3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6389" w14:textId="77777777" w:rsidR="00A06C3C" w:rsidRDefault="00A06C3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7D8" w14:textId="77777777" w:rsidR="00A06C3C" w:rsidRDefault="00A06C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3AF0"/>
    <w:multiLevelType w:val="hybridMultilevel"/>
    <w:tmpl w:val="B9D8405C"/>
    <w:lvl w:ilvl="0" w:tplc="1F183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139B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FC0BAB"/>
    <w:multiLevelType w:val="hybridMultilevel"/>
    <w:tmpl w:val="EDEC0E9E"/>
    <w:lvl w:ilvl="0" w:tplc="3AEE2A74">
      <w:start w:val="5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66"/>
    <w:rsid w:val="0004222B"/>
    <w:rsid w:val="000476B4"/>
    <w:rsid w:val="000556EB"/>
    <w:rsid w:val="00060B52"/>
    <w:rsid w:val="0007482D"/>
    <w:rsid w:val="000A19C6"/>
    <w:rsid w:val="000A31F7"/>
    <w:rsid w:val="000A77EB"/>
    <w:rsid w:val="000C72B1"/>
    <w:rsid w:val="000D5713"/>
    <w:rsid w:val="000F5A6B"/>
    <w:rsid w:val="00100B00"/>
    <w:rsid w:val="00112374"/>
    <w:rsid w:val="001131F3"/>
    <w:rsid w:val="00120BE7"/>
    <w:rsid w:val="00154DC7"/>
    <w:rsid w:val="00161594"/>
    <w:rsid w:val="001827B0"/>
    <w:rsid w:val="001A102D"/>
    <w:rsid w:val="001B0D32"/>
    <w:rsid w:val="001B3773"/>
    <w:rsid w:val="001E010A"/>
    <w:rsid w:val="00203E91"/>
    <w:rsid w:val="00213A23"/>
    <w:rsid w:val="00223D8B"/>
    <w:rsid w:val="0024219F"/>
    <w:rsid w:val="00243396"/>
    <w:rsid w:val="0026309B"/>
    <w:rsid w:val="00273E8E"/>
    <w:rsid w:val="002968C6"/>
    <w:rsid w:val="002C4902"/>
    <w:rsid w:val="002D2F4F"/>
    <w:rsid w:val="002F0779"/>
    <w:rsid w:val="0034024D"/>
    <w:rsid w:val="00396860"/>
    <w:rsid w:val="003A7152"/>
    <w:rsid w:val="003B2E10"/>
    <w:rsid w:val="003B31D6"/>
    <w:rsid w:val="003B6807"/>
    <w:rsid w:val="003C7ECC"/>
    <w:rsid w:val="003F2E73"/>
    <w:rsid w:val="00416ACA"/>
    <w:rsid w:val="00421087"/>
    <w:rsid w:val="004362ED"/>
    <w:rsid w:val="00445B9D"/>
    <w:rsid w:val="004604D5"/>
    <w:rsid w:val="00470972"/>
    <w:rsid w:val="004718F1"/>
    <w:rsid w:val="00473011"/>
    <w:rsid w:val="004750CF"/>
    <w:rsid w:val="004827D1"/>
    <w:rsid w:val="00490321"/>
    <w:rsid w:val="00497A18"/>
    <w:rsid w:val="004B19C0"/>
    <w:rsid w:val="004D4716"/>
    <w:rsid w:val="005068DB"/>
    <w:rsid w:val="0051541D"/>
    <w:rsid w:val="00516F74"/>
    <w:rsid w:val="00520497"/>
    <w:rsid w:val="0053201A"/>
    <w:rsid w:val="00535B50"/>
    <w:rsid w:val="00537E62"/>
    <w:rsid w:val="00543AC3"/>
    <w:rsid w:val="00595A02"/>
    <w:rsid w:val="005A30C4"/>
    <w:rsid w:val="005C5BD1"/>
    <w:rsid w:val="005E6B9A"/>
    <w:rsid w:val="00613BAE"/>
    <w:rsid w:val="006373B1"/>
    <w:rsid w:val="00640F5F"/>
    <w:rsid w:val="00652E4D"/>
    <w:rsid w:val="00657BBC"/>
    <w:rsid w:val="00664AE9"/>
    <w:rsid w:val="00667ECC"/>
    <w:rsid w:val="00680248"/>
    <w:rsid w:val="006A2485"/>
    <w:rsid w:val="006A44DE"/>
    <w:rsid w:val="006E53E9"/>
    <w:rsid w:val="00700BE5"/>
    <w:rsid w:val="00702E1F"/>
    <w:rsid w:val="007151D3"/>
    <w:rsid w:val="00755D5D"/>
    <w:rsid w:val="007807C0"/>
    <w:rsid w:val="00786E15"/>
    <w:rsid w:val="007A45B7"/>
    <w:rsid w:val="007A5189"/>
    <w:rsid w:val="007B458E"/>
    <w:rsid w:val="007B6B0E"/>
    <w:rsid w:val="007C6A0A"/>
    <w:rsid w:val="008177F4"/>
    <w:rsid w:val="00825DFE"/>
    <w:rsid w:val="008308E5"/>
    <w:rsid w:val="00860A19"/>
    <w:rsid w:val="0087179D"/>
    <w:rsid w:val="00883AC6"/>
    <w:rsid w:val="008A0500"/>
    <w:rsid w:val="00902063"/>
    <w:rsid w:val="0090576B"/>
    <w:rsid w:val="009112D3"/>
    <w:rsid w:val="00923E3D"/>
    <w:rsid w:val="00930904"/>
    <w:rsid w:val="00930AB1"/>
    <w:rsid w:val="00934DA4"/>
    <w:rsid w:val="009702AB"/>
    <w:rsid w:val="009755B4"/>
    <w:rsid w:val="00986A32"/>
    <w:rsid w:val="00987275"/>
    <w:rsid w:val="009A7266"/>
    <w:rsid w:val="009D56BD"/>
    <w:rsid w:val="009D631C"/>
    <w:rsid w:val="009E70E4"/>
    <w:rsid w:val="009F4B68"/>
    <w:rsid w:val="00A06C3C"/>
    <w:rsid w:val="00A26FAE"/>
    <w:rsid w:val="00A5104B"/>
    <w:rsid w:val="00A61175"/>
    <w:rsid w:val="00A67047"/>
    <w:rsid w:val="00A71569"/>
    <w:rsid w:val="00A82091"/>
    <w:rsid w:val="00A8452B"/>
    <w:rsid w:val="00A9623B"/>
    <w:rsid w:val="00AD77A3"/>
    <w:rsid w:val="00B07A8F"/>
    <w:rsid w:val="00B342EE"/>
    <w:rsid w:val="00B37721"/>
    <w:rsid w:val="00B52EFC"/>
    <w:rsid w:val="00B73A75"/>
    <w:rsid w:val="00B82F51"/>
    <w:rsid w:val="00BC3381"/>
    <w:rsid w:val="00BC4C2E"/>
    <w:rsid w:val="00BF1DB8"/>
    <w:rsid w:val="00C2452D"/>
    <w:rsid w:val="00C33C6D"/>
    <w:rsid w:val="00C41C87"/>
    <w:rsid w:val="00C43231"/>
    <w:rsid w:val="00C75EC8"/>
    <w:rsid w:val="00CA7E4B"/>
    <w:rsid w:val="00CE6F1C"/>
    <w:rsid w:val="00CE7922"/>
    <w:rsid w:val="00D00D06"/>
    <w:rsid w:val="00D05966"/>
    <w:rsid w:val="00D06F33"/>
    <w:rsid w:val="00D103BE"/>
    <w:rsid w:val="00D23F52"/>
    <w:rsid w:val="00D418A7"/>
    <w:rsid w:val="00D64D9C"/>
    <w:rsid w:val="00D83230"/>
    <w:rsid w:val="00D913F8"/>
    <w:rsid w:val="00D979A8"/>
    <w:rsid w:val="00DA1E19"/>
    <w:rsid w:val="00DA26B5"/>
    <w:rsid w:val="00DD14D8"/>
    <w:rsid w:val="00E04260"/>
    <w:rsid w:val="00E0775A"/>
    <w:rsid w:val="00E16753"/>
    <w:rsid w:val="00E30816"/>
    <w:rsid w:val="00E35C92"/>
    <w:rsid w:val="00E41F7F"/>
    <w:rsid w:val="00E47DD5"/>
    <w:rsid w:val="00E72504"/>
    <w:rsid w:val="00E74EA4"/>
    <w:rsid w:val="00E8557D"/>
    <w:rsid w:val="00EA5489"/>
    <w:rsid w:val="00EA7114"/>
    <w:rsid w:val="00EB1BFC"/>
    <w:rsid w:val="00EC4BD3"/>
    <w:rsid w:val="00EE01DF"/>
    <w:rsid w:val="00EE3C99"/>
    <w:rsid w:val="00F13676"/>
    <w:rsid w:val="00F1508A"/>
    <w:rsid w:val="00F2549C"/>
    <w:rsid w:val="00F7242F"/>
    <w:rsid w:val="00F72FFA"/>
    <w:rsid w:val="00F924CE"/>
    <w:rsid w:val="00FA0B6B"/>
    <w:rsid w:val="00FA781B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749"/>
  <w15:chartTrackingRefBased/>
  <w15:docId w15:val="{337B31EE-5C10-4234-8720-946C16C0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41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154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02E1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B31D6"/>
    <w:rPr>
      <w:rFonts w:ascii="Calibri" w:eastAsia="Calibri" w:hAnsi="Calibri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31D6"/>
    <w:rPr>
      <w:rFonts w:ascii="Calibri" w:eastAsia="Calibri" w:hAnsi="Calibri" w:cs="Times New Roman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0A19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06C3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6C3C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06C3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6C3C"/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060B5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pinske-toplice.skole.h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Usporedni prikaz planiranih i ostvarenih prihoda poslovanja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Planirano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6"/>
                <c:pt idx="0">
                  <c:v>Pomoći</c:v>
                </c:pt>
                <c:pt idx="1">
                  <c:v>Prihodi od financijske imovine</c:v>
                </c:pt>
                <c:pt idx="2">
                  <c:v>Prihodi po posebnim propisima</c:v>
                </c:pt>
                <c:pt idx="3">
                  <c:v>Prihodi od prodaje proizvoda i roba i pruženih usluga</c:v>
                </c:pt>
                <c:pt idx="4">
                  <c:v>Donacije</c:v>
                </c:pt>
                <c:pt idx="5">
                  <c:v>Prihodi iz nadležnog proračuna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1142770</c:v>
                </c:pt>
                <c:pt idx="1">
                  <c:v>10</c:v>
                </c:pt>
                <c:pt idx="2">
                  <c:v>21200</c:v>
                </c:pt>
                <c:pt idx="3">
                  <c:v>1130</c:v>
                </c:pt>
                <c:pt idx="4">
                  <c:v>1680</c:v>
                </c:pt>
                <c:pt idx="5">
                  <c:v>49660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3-4F4D-897C-79BC02FB77F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Ostvarenje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6"/>
                <c:pt idx="0">
                  <c:v>Pomoći</c:v>
                </c:pt>
                <c:pt idx="1">
                  <c:v>Prihodi od financijske imovine</c:v>
                </c:pt>
                <c:pt idx="2">
                  <c:v>Prihodi po posebnim propisima</c:v>
                </c:pt>
                <c:pt idx="3">
                  <c:v>Prihodi od prodaje proizvoda i roba i pruženih usluga</c:v>
                </c:pt>
                <c:pt idx="4">
                  <c:v>Donacije</c:v>
                </c:pt>
                <c:pt idx="5">
                  <c:v>Prihodi iz nadležnog proračuna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688630</c:v>
                </c:pt>
                <c:pt idx="1">
                  <c:v>7</c:v>
                </c:pt>
                <c:pt idx="2">
                  <c:v>22864</c:v>
                </c:pt>
                <c:pt idx="3">
                  <c:v>934</c:v>
                </c:pt>
                <c:pt idx="4">
                  <c:v>2830</c:v>
                </c:pt>
                <c:pt idx="5">
                  <c:v>28684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13-4F4D-897C-79BC02FB77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69707200"/>
        <c:axId val="1469707680"/>
      </c:barChart>
      <c:catAx>
        <c:axId val="1469707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69707680"/>
        <c:crosses val="autoZero"/>
        <c:auto val="1"/>
        <c:lblAlgn val="ctr"/>
        <c:lblOffset val="100"/>
        <c:noMultiLvlLbl val="0"/>
      </c:catAx>
      <c:valAx>
        <c:axId val="1469707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69707200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9E-4C15-8889-71EFCD2532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E9E-4C15-8889-71EFCD2532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E9E-4C15-8889-71EFCD2532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E9E-4C15-8889-71EFCD2532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AB3-478C-AC0A-5E7BBF7986A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AB3-478C-AC0A-5E7BBF7986A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AB3-478C-AC0A-5E7BBF7986A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List1!$A$2:$A$8</c:f>
              <c:strCache>
                <c:ptCount val="6"/>
                <c:pt idx="0">
                  <c:v>Pomoći</c:v>
                </c:pt>
                <c:pt idx="1">
                  <c:v>Tekuće pomoći temeljem prijenosa EU</c:v>
                </c:pt>
                <c:pt idx="2">
                  <c:v>Prihodi po posebnim propisima</c:v>
                </c:pt>
                <c:pt idx="5">
                  <c:v>Prihodi iz nadležnog proračuna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92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Prodaja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0E57-4A27-B52E-51E1D2054961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999110</c:v>
                </c:pt>
                <c:pt idx="1">
                  <c:v>197000</c:v>
                </c:pt>
                <c:pt idx="2">
                  <c:v>700</c:v>
                </c:pt>
                <c:pt idx="3">
                  <c:v>8760</c:v>
                </c:pt>
                <c:pt idx="4">
                  <c:v>652</c:v>
                </c:pt>
                <c:pt idx="5">
                  <c:v>10220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1-4CF4-9E6A-360CA369D8D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 01.01.-30.06.2024.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604158</c:v>
                </c:pt>
                <c:pt idx="1">
                  <c:v>141195</c:v>
                </c:pt>
                <c:pt idx="2">
                  <c:v>428</c:v>
                </c:pt>
                <c:pt idx="3">
                  <c:v>0</c:v>
                </c:pt>
                <c:pt idx="4">
                  <c:v>0</c:v>
                </c:pt>
                <c:pt idx="5">
                  <c:v>1503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A1-4CF4-9E6A-360CA369D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3257648"/>
        <c:axId val="783261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6"/>
                      <c:pt idx="0">
                        <c:v>Rashodi za zaposlene</c:v>
                      </c:pt>
                      <c:pt idx="1">
                        <c:v>Materijalni rashodi</c:v>
                      </c:pt>
                      <c:pt idx="2">
                        <c:v>Financijski rashodi</c:v>
                      </c:pt>
                      <c:pt idx="3">
                        <c:v>Naknade građanima i kućanstvima u naravi</c:v>
                      </c:pt>
                      <c:pt idx="4">
                        <c:v>Ostali rashodi</c:v>
                      </c:pt>
                      <c:pt idx="5">
                        <c:v>Rashodi za nabavu proizvedene dugotrajne imovine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AA1-4CF4-9E6A-360CA369D8DC}"/>
                  </c:ext>
                </c:extLst>
              </c15:ser>
            </c15:filteredBarSeries>
          </c:ext>
        </c:extLst>
      </c:barChart>
      <c:catAx>
        <c:axId val="78325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61968"/>
        <c:crosses val="autoZero"/>
        <c:auto val="1"/>
        <c:lblAlgn val="ctr"/>
        <c:lblOffset val="100"/>
        <c:noMultiLvlLbl val="0"/>
      </c:catAx>
      <c:valAx>
        <c:axId val="78326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57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A6-405F-ADF2-1249ED464ED3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A6-405F-ADF2-1249ED464ED3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A6-405F-ADF2-1249ED464ED3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A6-405F-ADF2-1249ED464ED3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B9A-41C4-8685-1BCEE4B79DE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B9A-41C4-8685-1BCEE4B79DE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B9A-41C4-8685-1BCEE4B79DE9}"/>
              </c:ext>
            </c:extLst>
          </c:dPt>
          <c:dLbls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List1!$A$2:$A$8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 dugotrajne imovine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81</c:v>
                </c:pt>
                <c:pt idx="1">
                  <c:v>18.8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F3-4275-96AB-C775D087DBAD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7D31-9A15-4B9F-85F5-CC26B87B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Marija</cp:lastModifiedBy>
  <cp:revision>2</cp:revision>
  <dcterms:created xsi:type="dcterms:W3CDTF">2024-07-24T06:45:00Z</dcterms:created>
  <dcterms:modified xsi:type="dcterms:W3CDTF">2024-07-24T06:45:00Z</dcterms:modified>
</cp:coreProperties>
</file>