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B5" w:rsidRDefault="00874AB5" w:rsidP="00874AB5">
      <w:pPr>
        <w:pStyle w:val="Bezproreda"/>
      </w:pPr>
      <w:r>
        <w:t>Naziv obveznika: OSNO</w:t>
      </w:r>
      <w:r w:rsidR="003841AF">
        <w:t>VNA ŠKOLA KRAPINSKE TOPLICE</w:t>
      </w:r>
      <w:r w:rsidR="003841AF">
        <w:tab/>
      </w:r>
      <w:r w:rsidR="003841AF">
        <w:tab/>
        <w:t>Broj RKP-a: 16019</w:t>
      </w:r>
    </w:p>
    <w:p w:rsidR="00874AB5" w:rsidRDefault="00874AB5" w:rsidP="00874AB5">
      <w:pPr>
        <w:pStyle w:val="Bezproreda"/>
      </w:pPr>
      <w:r>
        <w:t xml:space="preserve">Sjedište obveznika: </w:t>
      </w:r>
      <w:r w:rsidR="003841AF">
        <w:t>49217 KRAPINSKE TOPLICE</w:t>
      </w:r>
      <w:r w:rsidR="003841AF">
        <w:tab/>
      </w:r>
      <w:r w:rsidR="003841AF">
        <w:tab/>
      </w:r>
      <w:r w:rsidR="003841AF">
        <w:tab/>
        <w:t>Matični broj: 3016374</w:t>
      </w:r>
    </w:p>
    <w:p w:rsidR="00874AB5" w:rsidRDefault="00874AB5" w:rsidP="00874AB5">
      <w:pPr>
        <w:pStyle w:val="Bezproreda"/>
      </w:pPr>
      <w:r>
        <w:t>Adresa sjedišta ob</w:t>
      </w:r>
      <w:r w:rsidR="003841AF">
        <w:t>veznika: ZAGREBAČKA 12</w:t>
      </w:r>
      <w:r>
        <w:tab/>
      </w:r>
      <w:r>
        <w:tab/>
      </w:r>
      <w:r w:rsidR="003841AF">
        <w:t xml:space="preserve">              OIB: 46106875125</w:t>
      </w:r>
    </w:p>
    <w:p w:rsidR="00874AB5" w:rsidRDefault="003841AF" w:rsidP="00874AB5">
      <w:pPr>
        <w:pStyle w:val="Bezproreda"/>
      </w:pPr>
      <w:r>
        <w:t>Razina: 31</w:t>
      </w:r>
      <w:r>
        <w:tab/>
      </w:r>
      <w:r>
        <w:tab/>
        <w:t xml:space="preserve">                                                                      </w:t>
      </w:r>
      <w:r w:rsidR="00874AB5">
        <w:t>Šifra djelatnosti: 8520</w:t>
      </w:r>
    </w:p>
    <w:p w:rsidR="00874AB5" w:rsidRDefault="00874AB5">
      <w:r>
        <w:t>Razdjel: 000</w:t>
      </w:r>
    </w:p>
    <w:p w:rsidR="000D1580" w:rsidRDefault="00E529CF" w:rsidP="000D1580">
      <w:pPr>
        <w:jc w:val="center"/>
      </w:pPr>
      <w:r>
        <w:t>BILJEŠKE UZ FINANCIJSKE IZVJEŠTAJE</w:t>
      </w:r>
    </w:p>
    <w:p w:rsidR="008504BF" w:rsidRDefault="00E529CF" w:rsidP="000D1580">
      <w:pPr>
        <w:jc w:val="center"/>
      </w:pPr>
      <w:r>
        <w:t>Z</w:t>
      </w:r>
      <w:r w:rsidR="002A5236">
        <w:t>A RAZDOBLJE OD 01.SIJEČNJA DO 31. PROSINCA</w:t>
      </w:r>
      <w:r w:rsidR="0065261B">
        <w:t xml:space="preserve"> 202</w:t>
      </w:r>
      <w:r w:rsidR="00460DA4">
        <w:t>2</w:t>
      </w:r>
      <w:r>
        <w:t>. GODINE</w:t>
      </w:r>
    </w:p>
    <w:p w:rsidR="00A51C15" w:rsidRDefault="00A51C15" w:rsidP="000D1580">
      <w:pPr>
        <w:jc w:val="center"/>
      </w:pPr>
    </w:p>
    <w:p w:rsidR="00A51C15" w:rsidRDefault="00A51C15" w:rsidP="00A51C15">
      <w:pPr>
        <w:pStyle w:val="Odlomakpopisa"/>
        <w:numPr>
          <w:ilvl w:val="0"/>
          <w:numId w:val="8"/>
        </w:numPr>
        <w:rPr>
          <w:b/>
          <w:sz w:val="28"/>
          <w:szCs w:val="28"/>
        </w:rPr>
      </w:pPr>
      <w:r w:rsidRPr="00A51C15">
        <w:rPr>
          <w:b/>
          <w:sz w:val="28"/>
          <w:szCs w:val="28"/>
        </w:rPr>
        <w:t>UVOD – SAŽETAK I DJELOKRUG RADA</w:t>
      </w:r>
    </w:p>
    <w:p w:rsidR="00A51C15" w:rsidRDefault="00A51C15" w:rsidP="00A51C15">
      <w:pPr>
        <w:ind w:left="360"/>
      </w:pPr>
      <w:r>
        <w:t xml:space="preserve">Osnovna škola Krapinske Toplice je osnovnoškolska ustanova sa sjedištem u Krapinskim Toplicama te obuhvaća centralnu školu i dvije područne škole: </w:t>
      </w:r>
      <w:proofErr w:type="spellStart"/>
      <w:r>
        <w:t>Gregurovec</w:t>
      </w:r>
      <w:proofErr w:type="spellEnd"/>
      <w:r>
        <w:t xml:space="preserve"> i Mala </w:t>
      </w:r>
      <w:proofErr w:type="spellStart"/>
      <w:r>
        <w:t>Er</w:t>
      </w:r>
      <w:r w:rsidR="0065261B">
        <w:t>penja</w:t>
      </w:r>
      <w:proofErr w:type="spellEnd"/>
      <w:r w:rsidR="00460DA4">
        <w:t>, od kojih jedna trenutno ne radi</w:t>
      </w:r>
      <w:r w:rsidR="0065261B">
        <w:t>. Trenutno školu pohađa 32</w:t>
      </w:r>
      <w:r w:rsidR="00460DA4">
        <w:t>7</w:t>
      </w:r>
      <w:r w:rsidR="0065261B">
        <w:t xml:space="preserve"> učenika u 21</w:t>
      </w:r>
      <w:r>
        <w:t xml:space="preserve"> razredna odjela, od toga njih </w:t>
      </w:r>
      <w:r w:rsidR="0065261B">
        <w:t>3</w:t>
      </w:r>
      <w:r w:rsidR="00460DA4">
        <w:t>16</w:t>
      </w:r>
      <w:r w:rsidR="0085248B">
        <w:t xml:space="preserve"> </w:t>
      </w:r>
      <w:r>
        <w:t>pohađa 1.-8.razred u centralnoj školi gdje imamo 1</w:t>
      </w:r>
      <w:r w:rsidR="00460DA4">
        <w:t>9</w:t>
      </w:r>
      <w:r>
        <w:t xml:space="preserve"> odjela, a </w:t>
      </w:r>
      <w:r w:rsidR="0065261B">
        <w:t>1</w:t>
      </w:r>
      <w:r w:rsidR="00460DA4">
        <w:t>1</w:t>
      </w:r>
      <w:r w:rsidR="0085248B">
        <w:t xml:space="preserve"> učenika pohađa nastavu u područn</w:t>
      </w:r>
      <w:r w:rsidR="00460DA4">
        <w:t>oj</w:t>
      </w:r>
      <w:r w:rsidR="0085248B">
        <w:t xml:space="preserve"> škol</w:t>
      </w:r>
      <w:r w:rsidR="00460DA4">
        <w:t>i</w:t>
      </w:r>
      <w:r w:rsidR="0085248B">
        <w:t xml:space="preserve"> raspoređeno u </w:t>
      </w:r>
      <w:r w:rsidR="00460DA4">
        <w:t>2</w:t>
      </w:r>
      <w:r w:rsidR="0085248B">
        <w:t xml:space="preserve"> kombinirana razredna odjela.</w:t>
      </w:r>
    </w:p>
    <w:p w:rsidR="0085248B" w:rsidRDefault="0085248B" w:rsidP="00A51C15">
      <w:pPr>
        <w:ind w:left="360"/>
      </w:pPr>
      <w:r>
        <w:t xml:space="preserve">U školi je trenutno zaposleno  </w:t>
      </w:r>
      <w:r w:rsidR="000A2F0D">
        <w:t>46</w:t>
      </w:r>
      <w:r>
        <w:t xml:space="preserve"> djelatnika: 2</w:t>
      </w:r>
      <w:r w:rsidR="005D1D45">
        <w:t>1</w:t>
      </w:r>
      <w:r>
        <w:t xml:space="preserve"> učitelja predmetne nastave, 11 razredne nastave, 3 stručna suradnika i 11 ostalih radnika ( ravnatelj, tajnica, domar, spremačice). </w:t>
      </w:r>
    </w:p>
    <w:p w:rsidR="0085248B" w:rsidRDefault="0085248B" w:rsidP="00A51C15">
      <w:pPr>
        <w:ind w:left="360"/>
      </w:pPr>
      <w:r>
        <w:t xml:space="preserve">Osnovna djelatnost obuhvaća odgoj i obrazovanje djece i mladih. U školi se provodi </w:t>
      </w:r>
      <w:r w:rsidR="000312C3">
        <w:t>redovni program od 1.-8. Razreda  kojim učenik stječe znanja i sposobnosti za nastavak obrazovanja.</w:t>
      </w:r>
    </w:p>
    <w:p w:rsidR="000312C3" w:rsidRPr="00A51C15" w:rsidRDefault="000312C3" w:rsidP="00A51C15">
      <w:pPr>
        <w:ind w:left="360"/>
      </w:pPr>
      <w:r>
        <w:t xml:space="preserve">Školu zastupa i predstavlja ravnatelj Samson </w:t>
      </w:r>
      <w:proofErr w:type="spellStart"/>
      <w:r>
        <w:t>Štibohar</w:t>
      </w:r>
      <w:proofErr w:type="spellEnd"/>
      <w:r>
        <w:t xml:space="preserve">, </w:t>
      </w:r>
      <w:proofErr w:type="spellStart"/>
      <w:r>
        <w:t>dipl.teolog</w:t>
      </w:r>
      <w:proofErr w:type="spellEnd"/>
      <w:r>
        <w:t>.</w:t>
      </w:r>
    </w:p>
    <w:p w:rsidR="00E529CF" w:rsidRDefault="00E529CF">
      <w:r>
        <w:t>Osno</w:t>
      </w:r>
      <w:r w:rsidR="003841AF">
        <w:t>vna škola Krapinske Toplice</w:t>
      </w:r>
      <w:r>
        <w:t xml:space="preserve"> posluje u skladu sa Zakonom o odgoju i obrazovanju u osnovnoj i srednjoj školi te Statutom škole. Vodi proračunsko računovodstvo temeljem Pravilnika o proračunskom računovodstvu i Računskom planu, a financijske izvještaje sastavlja i predaje u skladu s odredbama Pravilnika o financijskom izvješćivanju u proračunskom računovodstvu.</w:t>
      </w:r>
    </w:p>
    <w:p w:rsidR="000312C3" w:rsidRDefault="000312C3">
      <w:r>
        <w:t>Škola nije u sustavu PDV-a.</w:t>
      </w:r>
    </w:p>
    <w:p w:rsidR="00F84632" w:rsidRDefault="00F84632" w:rsidP="003A5EBF">
      <w:pPr>
        <w:pStyle w:val="Bezproreda"/>
      </w:pPr>
    </w:p>
    <w:p w:rsidR="00F84632" w:rsidRDefault="00F84632" w:rsidP="003A5EBF">
      <w:pPr>
        <w:pStyle w:val="Bezproreda"/>
      </w:pPr>
    </w:p>
    <w:p w:rsidR="00DF11AC" w:rsidRPr="003841AF" w:rsidRDefault="00CD1FE7" w:rsidP="003841AF">
      <w:pPr>
        <w:rPr>
          <w:b/>
        </w:rPr>
      </w:pPr>
      <w:r>
        <w:rPr>
          <w:b/>
        </w:rPr>
        <w:t>1.</w:t>
      </w:r>
      <w:r w:rsidR="003841AF">
        <w:rPr>
          <w:b/>
        </w:rPr>
        <w:t>B</w:t>
      </w:r>
      <w:r w:rsidR="00DF11AC" w:rsidRPr="003841AF">
        <w:rPr>
          <w:b/>
        </w:rPr>
        <w:t>ilješke uz Izvještaj o prihodima i rashodima, primicima i izdacima</w:t>
      </w:r>
    </w:p>
    <w:p w:rsidR="00D86A1C" w:rsidRDefault="00D86A1C" w:rsidP="003A5EBF">
      <w:pPr>
        <w:pStyle w:val="Bezproreda"/>
      </w:pPr>
    </w:p>
    <w:p w:rsidR="0099192A" w:rsidRDefault="00DA6F99" w:rsidP="003A5EBF">
      <w:pPr>
        <w:pStyle w:val="Bezproreda"/>
      </w:pPr>
      <w:r>
        <w:t xml:space="preserve">Bilješka broj </w:t>
      </w:r>
      <w:r w:rsidR="00A202FC">
        <w:t>1</w:t>
      </w:r>
      <w:r w:rsidR="00077062">
        <w:t xml:space="preserve"> –</w:t>
      </w:r>
      <w:r w:rsidR="00A202FC">
        <w:t>636-</w:t>
      </w:r>
      <w:r w:rsidR="00077062">
        <w:t xml:space="preserve"> </w:t>
      </w:r>
      <w:r w:rsidR="002A5236">
        <w:t xml:space="preserve"> P</w:t>
      </w:r>
      <w:r w:rsidR="00077062">
        <w:t xml:space="preserve">omoći proračunskim korisnicima iz proračuna koji </w:t>
      </w:r>
      <w:r w:rsidR="00D45936">
        <w:t>im nije nadležan- (MZO za plaće i naknade plaća)- u ovom razdoblju prihodi su veći zbog povećanja osnovice i obračunskih koeficijenta plaće</w:t>
      </w:r>
      <w:r w:rsidR="002A39DC">
        <w:t xml:space="preserve">, podmirivanje sudskih troškova. </w:t>
      </w:r>
      <w:r w:rsidR="002A5236">
        <w:t xml:space="preserve">Kapitalne pomoći odnose se na nabavu udžbenika. </w:t>
      </w:r>
      <w:r w:rsidR="002A39DC">
        <w:t xml:space="preserve"> Ukupni prihodi od MZO iznose </w:t>
      </w:r>
      <w:r w:rsidR="00A202FC">
        <w:t>7</w:t>
      </w:r>
      <w:r w:rsidR="002A39DC">
        <w:t>.</w:t>
      </w:r>
      <w:r w:rsidR="00A202FC">
        <w:t>323</w:t>
      </w:r>
      <w:r w:rsidR="002A39DC">
        <w:t>.</w:t>
      </w:r>
      <w:r w:rsidR="00A202FC">
        <w:t>260,31</w:t>
      </w:r>
      <w:r w:rsidR="002A39DC">
        <w:t xml:space="preserve"> kn. </w:t>
      </w:r>
      <w:r w:rsidR="00A202FC">
        <w:t>88</w:t>
      </w:r>
      <w:r w:rsidR="002A39DC">
        <w:t>.0</w:t>
      </w:r>
      <w:r w:rsidR="00A202FC">
        <w:t>95,00</w:t>
      </w:r>
      <w:r w:rsidR="002A39DC">
        <w:t xml:space="preserve"> kn iznose prihodi od Općine.</w:t>
      </w:r>
    </w:p>
    <w:p w:rsidR="00A202FC" w:rsidRDefault="00A202FC" w:rsidP="003A5EBF">
      <w:pPr>
        <w:pStyle w:val="Bezproreda"/>
      </w:pPr>
    </w:p>
    <w:p w:rsidR="00A202FC" w:rsidRDefault="00A202FC" w:rsidP="003A5EBF">
      <w:pPr>
        <w:pStyle w:val="Bezproreda"/>
      </w:pPr>
      <w:r>
        <w:t xml:space="preserve">Bilješka broj 2-638- Tekuće pomoći temeljem prijenosa EU sredstava- odnose se na doznačena sredstva od projekta </w:t>
      </w:r>
      <w:proofErr w:type="spellStart"/>
      <w:r>
        <w:t>Erasmus</w:t>
      </w:r>
      <w:proofErr w:type="spellEnd"/>
      <w:r>
        <w:t>.</w:t>
      </w:r>
    </w:p>
    <w:p w:rsidR="00D86A1C" w:rsidRDefault="00D86A1C" w:rsidP="003A5EBF">
      <w:pPr>
        <w:pStyle w:val="Bezproreda"/>
      </w:pPr>
    </w:p>
    <w:p w:rsidR="00F72E00" w:rsidRDefault="007C18C1" w:rsidP="003A5EBF">
      <w:pPr>
        <w:pStyle w:val="Bezproreda"/>
      </w:pPr>
      <w:r>
        <w:t xml:space="preserve">Bilješka broj </w:t>
      </w:r>
      <w:r w:rsidR="009224D6">
        <w:t xml:space="preserve">3- </w:t>
      </w:r>
      <w:r w:rsidR="00A202FC">
        <w:t>652-</w:t>
      </w:r>
      <w:r w:rsidR="009224D6">
        <w:t xml:space="preserve"> Prihodi po posebnim propisima </w:t>
      </w:r>
      <w:r w:rsidR="0093286B">
        <w:t xml:space="preserve"> </w:t>
      </w:r>
      <w:r w:rsidR="009224D6">
        <w:t>veći su u odnosu na 202</w:t>
      </w:r>
      <w:r w:rsidR="00A202FC">
        <w:t>1</w:t>
      </w:r>
      <w:r w:rsidR="009224D6">
        <w:t xml:space="preserve"> godinu </w:t>
      </w:r>
      <w:r w:rsidR="00A202FC">
        <w:t>nije</w:t>
      </w:r>
      <w:r w:rsidR="009224D6">
        <w:t xml:space="preserve"> bilo  on line</w:t>
      </w:r>
      <w:r w:rsidR="00A202FC">
        <w:t xml:space="preserve"> </w:t>
      </w:r>
      <w:r w:rsidR="009224D6">
        <w:t>nastave i održani su izleti što u 202</w:t>
      </w:r>
      <w:r w:rsidR="00A202FC">
        <w:t>1</w:t>
      </w:r>
      <w:r w:rsidR="009224D6">
        <w:t xml:space="preserve"> nije bilo ( </w:t>
      </w:r>
      <w:r w:rsidR="000D0AEF">
        <w:t>461</w:t>
      </w:r>
      <w:r w:rsidR="009224D6">
        <w:t>.</w:t>
      </w:r>
      <w:r w:rsidR="000D0AEF">
        <w:t>857,92</w:t>
      </w:r>
      <w:r w:rsidR="009224D6">
        <w:t xml:space="preserve"> kn). </w:t>
      </w:r>
      <w:r w:rsidR="000D0AEF">
        <w:t>Smanjeni</w:t>
      </w:r>
      <w:r w:rsidR="009224D6">
        <w:t xml:space="preserve"> su prihodi za naknadu štete od osiguranja i učenika za naknadu štete  učinjene na </w:t>
      </w:r>
      <w:proofErr w:type="spellStart"/>
      <w:r w:rsidR="009224D6">
        <w:t>tabletima</w:t>
      </w:r>
      <w:proofErr w:type="spellEnd"/>
      <w:r w:rsidR="009224D6">
        <w:t xml:space="preserve"> ( 1</w:t>
      </w:r>
      <w:r w:rsidR="000D0AEF">
        <w:t>0</w:t>
      </w:r>
      <w:r w:rsidR="009224D6">
        <w:t>.</w:t>
      </w:r>
      <w:r w:rsidR="000D0AEF">
        <w:t>217,50</w:t>
      </w:r>
      <w:r w:rsidR="009224D6">
        <w:t xml:space="preserve"> kn).</w:t>
      </w:r>
    </w:p>
    <w:p w:rsidR="00D86A1C" w:rsidRDefault="00D86A1C" w:rsidP="003A5EBF">
      <w:pPr>
        <w:pStyle w:val="Bezproreda"/>
      </w:pPr>
    </w:p>
    <w:p w:rsidR="009E5DCA" w:rsidRDefault="009D08C4" w:rsidP="003A5EBF">
      <w:pPr>
        <w:pStyle w:val="Bezproreda"/>
      </w:pPr>
      <w:r>
        <w:t xml:space="preserve">Bilješka broj </w:t>
      </w:r>
      <w:r w:rsidR="009224D6">
        <w:t>4</w:t>
      </w:r>
      <w:r w:rsidR="009E5DCA">
        <w:t xml:space="preserve"> – </w:t>
      </w:r>
      <w:r w:rsidR="00BC51EB">
        <w:t>6615-</w:t>
      </w:r>
      <w:r w:rsidR="009E5DCA">
        <w:t xml:space="preserve"> P</w:t>
      </w:r>
      <w:r w:rsidR="0093286B">
        <w:t>rihodi od pruženih usluga – u ovom razdoblju ostvareno je</w:t>
      </w:r>
      <w:r w:rsidR="00BC51EB">
        <w:t xml:space="preserve"> više</w:t>
      </w:r>
      <w:r w:rsidR="0093286B">
        <w:t xml:space="preserve"> prihoda od naj</w:t>
      </w:r>
      <w:r w:rsidR="00F72E00">
        <w:t xml:space="preserve">ma </w:t>
      </w:r>
      <w:r w:rsidR="00394BC9">
        <w:t xml:space="preserve">kioska i prostora </w:t>
      </w:r>
      <w:r w:rsidR="00BC51EB">
        <w:t>i naplaćenih prihoda iz protekle godine 9.675,00</w:t>
      </w:r>
      <w:r w:rsidR="00F72E00">
        <w:t>.</w:t>
      </w:r>
    </w:p>
    <w:p w:rsidR="00D86A1C" w:rsidRDefault="00D86A1C" w:rsidP="003A5EBF">
      <w:pPr>
        <w:pStyle w:val="Bezproreda"/>
      </w:pPr>
    </w:p>
    <w:p w:rsidR="00E22188" w:rsidRDefault="00F72E00" w:rsidP="003A5EBF">
      <w:pPr>
        <w:pStyle w:val="Bezproreda"/>
      </w:pPr>
      <w:r>
        <w:t>Bilješka broj 5</w:t>
      </w:r>
      <w:r w:rsidR="009E5DCA">
        <w:t xml:space="preserve"> – </w:t>
      </w:r>
      <w:r w:rsidR="00BC51EB">
        <w:t>663-</w:t>
      </w:r>
      <w:r w:rsidR="005C74BF">
        <w:t xml:space="preserve"> Donacije od pravnih i fizičkih osoba – u tekućem</w:t>
      </w:r>
      <w:r w:rsidR="009D08C4">
        <w:t xml:space="preserve"> izvještajnom razdoblju</w:t>
      </w:r>
      <w:r>
        <w:t xml:space="preserve">  s</w:t>
      </w:r>
      <w:r w:rsidR="0093286B">
        <w:t>u</w:t>
      </w:r>
      <w:r>
        <w:t xml:space="preserve"> </w:t>
      </w:r>
      <w:r w:rsidR="00BC51EB">
        <w:t>smanjene</w:t>
      </w:r>
      <w:r>
        <w:t xml:space="preserve">, pravne osobe donirale  </w:t>
      </w:r>
      <w:r w:rsidR="00BC51EB">
        <w:t xml:space="preserve">su </w:t>
      </w:r>
      <w:r>
        <w:t>namještaj</w:t>
      </w:r>
      <w:r w:rsidR="00BC51EB">
        <w:t>, sredstva za troškove izlete i osiguranja učenika.</w:t>
      </w:r>
      <w:r>
        <w:t xml:space="preserve"> Ukupan iznos donacija iznosi </w:t>
      </w:r>
      <w:r w:rsidR="00BC51EB">
        <w:t>34.486,02</w:t>
      </w:r>
      <w:r>
        <w:t xml:space="preserve"> kn.</w:t>
      </w:r>
    </w:p>
    <w:p w:rsidR="00D86A1C" w:rsidRDefault="00D86A1C" w:rsidP="003A5EBF">
      <w:pPr>
        <w:pStyle w:val="Bezproreda"/>
      </w:pPr>
    </w:p>
    <w:p w:rsidR="00A7401D" w:rsidRDefault="00F72E00" w:rsidP="003A5EBF">
      <w:pPr>
        <w:pStyle w:val="Bezproreda"/>
      </w:pPr>
      <w:r>
        <w:t>Bilješka broj 6</w:t>
      </w:r>
      <w:r w:rsidR="00E22188">
        <w:t xml:space="preserve">- </w:t>
      </w:r>
      <w:r w:rsidR="00BC51EB">
        <w:t>671 -</w:t>
      </w:r>
      <w:r w:rsidR="00E22188">
        <w:t>Prihodi iz nad</w:t>
      </w:r>
      <w:r>
        <w:t xml:space="preserve">ležnog proračuna ostvareni su u </w:t>
      </w:r>
      <w:r w:rsidR="00BC51EB">
        <w:t>manjem</w:t>
      </w:r>
      <w:r w:rsidR="00F87FEB">
        <w:t xml:space="preserve"> </w:t>
      </w:r>
      <w:r w:rsidR="00E22188">
        <w:t>iznosu nego u pret</w:t>
      </w:r>
      <w:r w:rsidR="00E04907">
        <w:t>ho</w:t>
      </w:r>
      <w:r w:rsidR="00A7401D">
        <w:t>dnom izvještajnom razdoblju</w:t>
      </w:r>
      <w:r w:rsidR="004F4567">
        <w:t xml:space="preserve"> 407.857,60.</w:t>
      </w:r>
      <w:r>
        <w:t xml:space="preserve"> </w:t>
      </w:r>
      <w:r w:rsidR="002A5236">
        <w:t xml:space="preserve"> </w:t>
      </w:r>
    </w:p>
    <w:p w:rsidR="002A5236" w:rsidRDefault="002A5236" w:rsidP="003A5EBF">
      <w:pPr>
        <w:pStyle w:val="Bezproreda"/>
      </w:pPr>
    </w:p>
    <w:p w:rsidR="002A5236" w:rsidRDefault="002A5236" w:rsidP="003A5EBF">
      <w:pPr>
        <w:pStyle w:val="Bezproreda"/>
      </w:pPr>
      <w:r w:rsidRPr="00E805AD">
        <w:t>BILJEŠKA ZA NADLEŽNI PRORAČUN ( KRAPINSKO-ZAGORSKA ŽUPANIJA)</w:t>
      </w:r>
    </w:p>
    <w:p w:rsidR="00F72E00" w:rsidRPr="00E805AD" w:rsidRDefault="00F72E00" w:rsidP="003A5EBF">
      <w:pPr>
        <w:pStyle w:val="Bezproreda"/>
      </w:pPr>
    </w:p>
    <w:tbl>
      <w:tblPr>
        <w:tblW w:w="10560" w:type="dxa"/>
        <w:tblInd w:w="30" w:type="dxa"/>
        <w:tblLayout w:type="fixed"/>
        <w:tblCellMar>
          <w:left w:w="30" w:type="dxa"/>
          <w:right w:w="30" w:type="dxa"/>
        </w:tblCellMar>
        <w:tblLook w:val="0000" w:firstRow="0" w:lastRow="0" w:firstColumn="0" w:lastColumn="0" w:noHBand="0" w:noVBand="0"/>
      </w:tblPr>
      <w:tblGrid>
        <w:gridCol w:w="2880"/>
        <w:gridCol w:w="960"/>
        <w:gridCol w:w="960"/>
        <w:gridCol w:w="960"/>
        <w:gridCol w:w="960"/>
        <w:gridCol w:w="960"/>
        <w:gridCol w:w="960"/>
        <w:gridCol w:w="960"/>
        <w:gridCol w:w="960"/>
      </w:tblGrid>
      <w:tr w:rsidR="00F72E00" w:rsidTr="009139C7">
        <w:trPr>
          <w:trHeight w:val="315"/>
        </w:trPr>
        <w:tc>
          <w:tcPr>
            <w:tcW w:w="288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c>
          <w:tcPr>
            <w:tcW w:w="960" w:type="dxa"/>
            <w:tcBorders>
              <w:top w:val="nil"/>
              <w:left w:val="nil"/>
              <w:bottom w:val="nil"/>
              <w:right w:val="nil"/>
            </w:tcBorders>
          </w:tcPr>
          <w:p w:rsidR="00F72E00" w:rsidRDefault="00F72E00">
            <w:pPr>
              <w:autoSpaceDE w:val="0"/>
              <w:autoSpaceDN w:val="0"/>
              <w:adjustRightInd w:val="0"/>
              <w:spacing w:after="0" w:line="240" w:lineRule="auto"/>
              <w:jc w:val="right"/>
              <w:rPr>
                <w:rFonts w:ascii="Segoe UI Light" w:hAnsi="Segoe UI Light" w:cs="Segoe UI Light"/>
                <w:color w:val="000000"/>
              </w:rPr>
            </w:pPr>
          </w:p>
        </w:tc>
      </w:tr>
    </w:tbl>
    <w:p w:rsidR="002A5236" w:rsidRDefault="002A5236" w:rsidP="003A5EBF">
      <w:pPr>
        <w:pStyle w:val="Bezproreda"/>
        <w:rPr>
          <w:b/>
        </w:rPr>
      </w:pPr>
    </w:p>
    <w:p w:rsidR="009139C7" w:rsidRDefault="009139C7" w:rsidP="009139C7">
      <w:pPr>
        <w:pStyle w:val="Bezproreda"/>
        <w:numPr>
          <w:ilvl w:val="0"/>
          <w:numId w:val="9"/>
        </w:numPr>
      </w:pPr>
      <w:r>
        <w:t>Decentralizacija= 3</w:t>
      </w:r>
      <w:r w:rsidR="00BC51EB">
        <w:t>19</w:t>
      </w:r>
      <w:r>
        <w:t>.</w:t>
      </w:r>
      <w:r w:rsidR="00BC51EB">
        <w:t>848</w:t>
      </w:r>
      <w:r>
        <w:t>,</w:t>
      </w:r>
      <w:r w:rsidR="00BC51EB">
        <w:t>63</w:t>
      </w:r>
    </w:p>
    <w:p w:rsidR="009139C7" w:rsidRDefault="009139C7" w:rsidP="009139C7">
      <w:pPr>
        <w:pStyle w:val="Bezproreda"/>
        <w:numPr>
          <w:ilvl w:val="0"/>
          <w:numId w:val="9"/>
        </w:numPr>
      </w:pPr>
      <w:r>
        <w:t>Školska shema= 15.950,47</w:t>
      </w:r>
    </w:p>
    <w:p w:rsidR="009139C7" w:rsidRDefault="009139C7" w:rsidP="009139C7">
      <w:pPr>
        <w:pStyle w:val="Bezproreda"/>
        <w:numPr>
          <w:ilvl w:val="0"/>
          <w:numId w:val="9"/>
        </w:numPr>
      </w:pPr>
      <w:proofErr w:type="spellStart"/>
      <w:r>
        <w:t>Zalogajček</w:t>
      </w:r>
      <w:proofErr w:type="spellEnd"/>
      <w:r>
        <w:t>= 3</w:t>
      </w:r>
      <w:r w:rsidR="00BC51EB">
        <w:t>4</w:t>
      </w:r>
      <w:r>
        <w:t>.7</w:t>
      </w:r>
      <w:r w:rsidR="00BC51EB">
        <w:t>50</w:t>
      </w:r>
      <w:r>
        <w:t>,</w:t>
      </w:r>
      <w:r w:rsidR="00BC51EB">
        <w:t>91</w:t>
      </w:r>
    </w:p>
    <w:p w:rsidR="009139C7" w:rsidRDefault="009139C7" w:rsidP="009139C7">
      <w:pPr>
        <w:pStyle w:val="Bezproreda"/>
        <w:numPr>
          <w:ilvl w:val="0"/>
          <w:numId w:val="9"/>
        </w:numPr>
      </w:pPr>
      <w:r>
        <w:t xml:space="preserve">Troškovi natjecanja = </w:t>
      </w:r>
      <w:r w:rsidR="00BC51EB">
        <w:t>3</w:t>
      </w:r>
      <w:r>
        <w:t>.</w:t>
      </w:r>
      <w:r w:rsidR="00BC51EB">
        <w:t>452</w:t>
      </w:r>
      <w:r>
        <w:t>,00</w:t>
      </w:r>
    </w:p>
    <w:p w:rsidR="009139C7" w:rsidRDefault="009139C7" w:rsidP="009139C7">
      <w:pPr>
        <w:pStyle w:val="Bezproreda"/>
        <w:numPr>
          <w:ilvl w:val="0"/>
          <w:numId w:val="9"/>
        </w:numPr>
      </w:pPr>
      <w:r>
        <w:t>E tehničar =</w:t>
      </w:r>
      <w:r w:rsidR="00BC51EB">
        <w:t>7</w:t>
      </w:r>
      <w:r>
        <w:t>.</w:t>
      </w:r>
      <w:r w:rsidR="00BC51EB">
        <w:t>200</w:t>
      </w:r>
      <w:r>
        <w:t>,00</w:t>
      </w:r>
    </w:p>
    <w:p w:rsidR="009139C7" w:rsidRDefault="009139C7" w:rsidP="004F4567">
      <w:pPr>
        <w:pStyle w:val="Bezproreda"/>
        <w:numPr>
          <w:ilvl w:val="0"/>
          <w:numId w:val="9"/>
        </w:numPr>
      </w:pPr>
      <w:r>
        <w:t xml:space="preserve">Građanski odgoj = </w:t>
      </w:r>
      <w:r w:rsidR="00BC51EB">
        <w:t>2</w:t>
      </w:r>
      <w:r>
        <w:t>.</w:t>
      </w:r>
      <w:r w:rsidR="00BC51EB">
        <w:t>22</w:t>
      </w:r>
      <w:r>
        <w:t>0,00</w:t>
      </w:r>
    </w:p>
    <w:p w:rsidR="009139C7" w:rsidRDefault="009139C7" w:rsidP="009139C7">
      <w:pPr>
        <w:pStyle w:val="Bezproreda"/>
        <w:numPr>
          <w:ilvl w:val="0"/>
          <w:numId w:val="9"/>
        </w:numPr>
      </w:pPr>
      <w:r>
        <w:t xml:space="preserve">Ostalo  = </w:t>
      </w:r>
      <w:r w:rsidR="004F4567">
        <w:t>16</w:t>
      </w:r>
      <w:r>
        <w:t>.</w:t>
      </w:r>
      <w:r w:rsidR="004F4567">
        <w:t>126</w:t>
      </w:r>
      <w:r>
        <w:t>,50</w:t>
      </w:r>
    </w:p>
    <w:p w:rsidR="00DA1EEC" w:rsidRDefault="00DA1EEC" w:rsidP="003A5EBF">
      <w:pPr>
        <w:pStyle w:val="Bezproreda"/>
      </w:pPr>
    </w:p>
    <w:p w:rsidR="00DA1EEC" w:rsidRPr="00D86A1C" w:rsidRDefault="00DA1EEC" w:rsidP="003A5EBF">
      <w:pPr>
        <w:pStyle w:val="Bezproreda"/>
      </w:pPr>
    </w:p>
    <w:p w:rsidR="002A5236" w:rsidRPr="00D86A1C" w:rsidRDefault="009139C7" w:rsidP="003A5EBF">
      <w:pPr>
        <w:pStyle w:val="Bezproreda"/>
      </w:pPr>
      <w:r>
        <w:t xml:space="preserve">                 </w:t>
      </w:r>
    </w:p>
    <w:p w:rsidR="002A5236" w:rsidRDefault="002A5236" w:rsidP="003A5EBF">
      <w:pPr>
        <w:pStyle w:val="Bezproreda"/>
      </w:pPr>
    </w:p>
    <w:p w:rsidR="00E22188" w:rsidRDefault="000B6E3D" w:rsidP="003A5EBF">
      <w:pPr>
        <w:pStyle w:val="Bezproreda"/>
      </w:pPr>
      <w:r>
        <w:t xml:space="preserve">Bilješka broj </w:t>
      </w:r>
      <w:r w:rsidR="009139C7">
        <w:t>7</w:t>
      </w:r>
      <w:r w:rsidR="009E63B8">
        <w:t xml:space="preserve"> – </w:t>
      </w:r>
      <w:r w:rsidR="004F4567">
        <w:t>31-</w:t>
      </w:r>
      <w:r w:rsidR="009E63B8">
        <w:t xml:space="preserve"> </w:t>
      </w:r>
      <w:r w:rsidR="00037900">
        <w:t>Rashodi</w:t>
      </w:r>
      <w:r w:rsidR="009E63B8">
        <w:t xml:space="preserve"> za zaposlene – povećan</w:t>
      </w:r>
      <w:r w:rsidR="00037900">
        <w:t>i</w:t>
      </w:r>
      <w:r w:rsidR="009E63B8">
        <w:t xml:space="preserve"> u odnosu na prethodno razdoblje zbog  </w:t>
      </w:r>
      <w:r w:rsidR="00E22188">
        <w:t>poveća</w:t>
      </w:r>
      <w:r w:rsidR="003F4BA5">
        <w:t>nja osnovice za obračun plaće</w:t>
      </w:r>
      <w:r w:rsidR="00F618A9">
        <w:t>, zapošljavanja zamjena za bolovanja</w:t>
      </w:r>
      <w:r w:rsidR="003F4BA5">
        <w:t>, većih koefici</w:t>
      </w:r>
      <w:r w:rsidR="00D86A1C">
        <w:t>jenata  i naknada</w:t>
      </w:r>
    </w:p>
    <w:p w:rsidR="009139C7" w:rsidRDefault="009139C7" w:rsidP="003A5EBF">
      <w:pPr>
        <w:pStyle w:val="Bezproreda"/>
      </w:pPr>
    </w:p>
    <w:p w:rsidR="009139C7" w:rsidRDefault="000B6E3D" w:rsidP="003A5EBF">
      <w:pPr>
        <w:pStyle w:val="Bezproreda"/>
      </w:pPr>
      <w:r>
        <w:t xml:space="preserve">Bilješka broj </w:t>
      </w:r>
      <w:r w:rsidR="009139C7">
        <w:t>8</w:t>
      </w:r>
      <w:r w:rsidR="009E63B8">
        <w:t xml:space="preserve"> – </w:t>
      </w:r>
      <w:r w:rsidR="004F4567">
        <w:t>32-</w:t>
      </w:r>
      <w:r w:rsidR="00037900">
        <w:t xml:space="preserve"> Materijalni rashodi – </w:t>
      </w:r>
      <w:r w:rsidR="00D74F0C">
        <w:t xml:space="preserve"> </w:t>
      </w:r>
      <w:r w:rsidR="004F4567">
        <w:t>smanjeni</w:t>
      </w:r>
      <w:r w:rsidR="009139C7">
        <w:t xml:space="preserve"> </w:t>
      </w:r>
      <w:r w:rsidR="003F4BA5">
        <w:t xml:space="preserve"> su</w:t>
      </w:r>
      <w:r w:rsidR="00E22188">
        <w:t xml:space="preserve"> </w:t>
      </w:r>
      <w:r w:rsidR="00037900">
        <w:t>u odnosu na preth</w:t>
      </w:r>
      <w:r w:rsidR="009139C7">
        <w:t>odno izvještajno razdoblj</w:t>
      </w:r>
      <w:r w:rsidR="004F4567">
        <w:t>e</w:t>
      </w:r>
      <w:r w:rsidR="009139C7">
        <w:t xml:space="preserve"> . Povećani su troškovi za </w:t>
      </w:r>
      <w:r w:rsidR="004F4567">
        <w:t>službena putovanja i stručno usavršavanje zaposlenika, koji su prethodnom razdoblju bili manji jer nije bilo organizacija  izleta, seminara. Smanjeni su troškovi za nabavu uredskog materijala zbog štednje dok su povećani za nabavu namirnica za školsku kuhinju i energiju.</w:t>
      </w:r>
    </w:p>
    <w:p w:rsidR="000414B3" w:rsidRDefault="004F4567" w:rsidP="003A5EBF">
      <w:pPr>
        <w:pStyle w:val="Bezproreda"/>
      </w:pPr>
      <w:r>
        <w:t>Troškovi za nabavu materijala za  tekuće i investicijsko održavanje i sami troškovi investicijskog održavanja su smanjeni jer je škola obnovljena u proteklom razdoblju pa nije bilo potrebe za istima.</w:t>
      </w:r>
    </w:p>
    <w:p w:rsidR="00D86A1C" w:rsidRDefault="000414B3" w:rsidP="003A5EBF">
      <w:pPr>
        <w:pStyle w:val="Bezproreda"/>
      </w:pPr>
      <w:r>
        <w:t xml:space="preserve">Intelektualne i osobne usluge veće su u odnosu na prošlu godinu zbog </w:t>
      </w:r>
      <w:r w:rsidR="00755A0D">
        <w:t>manje</w:t>
      </w:r>
      <w:r>
        <w:t xml:space="preserve"> sklopljenih ugovora o djelu : e tehničar, građanski odgoj.</w:t>
      </w:r>
    </w:p>
    <w:p w:rsidR="000414B3" w:rsidRDefault="000414B3" w:rsidP="003A5EBF">
      <w:pPr>
        <w:pStyle w:val="Bezproreda"/>
      </w:pPr>
      <w:r>
        <w:t>Ostale usluge veće su u odnosu na prošlu godinu zbog održavanja izleta.</w:t>
      </w:r>
    </w:p>
    <w:p w:rsidR="000414B3" w:rsidRDefault="000414B3" w:rsidP="003A5EBF">
      <w:pPr>
        <w:pStyle w:val="Bezproreda"/>
      </w:pPr>
      <w:r>
        <w:t xml:space="preserve">Ostali nespomenuti rashodi poslovanja </w:t>
      </w:r>
      <w:r w:rsidR="00755A0D">
        <w:t xml:space="preserve">manji su </w:t>
      </w:r>
      <w:r w:rsidR="00D0066A">
        <w:t xml:space="preserve"> u odno</w:t>
      </w:r>
      <w:r w:rsidR="00394BC9">
        <w:t xml:space="preserve">su na godinu prije zbog </w:t>
      </w:r>
      <w:r w:rsidR="00D0066A">
        <w:t xml:space="preserve"> </w:t>
      </w:r>
      <w:r w:rsidR="00755A0D">
        <w:t xml:space="preserve">riješenih </w:t>
      </w:r>
      <w:r w:rsidR="00D0066A">
        <w:t>troškova sudskih postupaka ( Osnovica 6 %)</w:t>
      </w:r>
      <w:r w:rsidR="00755A0D">
        <w:t>.</w:t>
      </w:r>
    </w:p>
    <w:p w:rsidR="00D0066A" w:rsidRDefault="00D0066A" w:rsidP="003A5EBF">
      <w:pPr>
        <w:pStyle w:val="Bezproreda"/>
      </w:pPr>
    </w:p>
    <w:p w:rsidR="00DA61BE" w:rsidRDefault="00FB5181" w:rsidP="008E7FA0">
      <w:pPr>
        <w:pStyle w:val="Bezproreda"/>
      </w:pPr>
      <w:r>
        <w:t xml:space="preserve">Bilješka broj </w:t>
      </w:r>
      <w:r w:rsidR="009139C7">
        <w:t>9</w:t>
      </w:r>
      <w:r w:rsidR="003F3251">
        <w:t xml:space="preserve"> –</w:t>
      </w:r>
      <w:r w:rsidR="00D0066A">
        <w:t xml:space="preserve"> </w:t>
      </w:r>
      <w:r w:rsidR="00755A0D">
        <w:t>34</w:t>
      </w:r>
      <w:r w:rsidR="00E44E73">
        <w:t>-</w:t>
      </w:r>
      <w:r w:rsidR="003F3251">
        <w:t xml:space="preserve"> Financijski rashodi </w:t>
      </w:r>
      <w:r w:rsidR="00D0066A">
        <w:t xml:space="preserve">- bankarske usluge </w:t>
      </w:r>
      <w:r w:rsidR="00755A0D">
        <w:t>malo su umanjene</w:t>
      </w:r>
      <w:r w:rsidR="00D0066A">
        <w:t xml:space="preserve"> </w:t>
      </w:r>
      <w:r w:rsidR="00DA61BE">
        <w:t>u odnosu na prethodno izvješt</w:t>
      </w:r>
      <w:r w:rsidR="00D0066A">
        <w:t xml:space="preserve">ajno razdoblje zbog  </w:t>
      </w:r>
      <w:r w:rsidR="00755A0D">
        <w:t>manje troškova za obnovu certifikata za Banku i Finu.</w:t>
      </w:r>
    </w:p>
    <w:p w:rsidR="00D0066A" w:rsidRDefault="00D0066A" w:rsidP="008E7FA0">
      <w:pPr>
        <w:pStyle w:val="Bezproreda"/>
      </w:pPr>
      <w:r>
        <w:t>Zatezne kamate odnose se na kamate za troškove po sudskim sporovima koji su postali pravomoćni u 202</w:t>
      </w:r>
      <w:r w:rsidR="00755A0D">
        <w:t xml:space="preserve">2 </w:t>
      </w:r>
      <w:r>
        <w:t>godini.</w:t>
      </w:r>
    </w:p>
    <w:p w:rsidR="00D86A1C" w:rsidRDefault="00D86A1C" w:rsidP="008E7FA0">
      <w:pPr>
        <w:pStyle w:val="Bezproreda"/>
      </w:pPr>
    </w:p>
    <w:p w:rsidR="00AC555D" w:rsidRDefault="00AC06EF" w:rsidP="003A5EBF">
      <w:pPr>
        <w:pStyle w:val="Bezproreda"/>
      </w:pPr>
      <w:r>
        <w:t xml:space="preserve">Bilješka broj </w:t>
      </w:r>
      <w:r w:rsidR="00D0066A">
        <w:t xml:space="preserve">10 – </w:t>
      </w:r>
      <w:r w:rsidR="00755A0D">
        <w:t>37-</w:t>
      </w:r>
      <w:r w:rsidR="00D0066A">
        <w:t xml:space="preserve"> Naknade građanima i kućanstvima </w:t>
      </w:r>
      <w:r>
        <w:t xml:space="preserve"> – </w:t>
      </w:r>
      <w:r w:rsidR="00D0066A">
        <w:t xml:space="preserve"> odnose se na nabavu radnih udžbenika za učenike.</w:t>
      </w:r>
    </w:p>
    <w:p w:rsidR="00D0066A" w:rsidRDefault="00D0066A" w:rsidP="003A5EBF">
      <w:pPr>
        <w:pStyle w:val="Bezproreda"/>
      </w:pPr>
    </w:p>
    <w:p w:rsidR="00D0066A" w:rsidRDefault="00D0066A" w:rsidP="003A5EBF">
      <w:pPr>
        <w:pStyle w:val="Bezproreda"/>
      </w:pPr>
      <w:r>
        <w:t xml:space="preserve">Bilješka broj 11- </w:t>
      </w:r>
      <w:r w:rsidR="00755A0D">
        <w:t xml:space="preserve">42- </w:t>
      </w:r>
      <w:r>
        <w:t xml:space="preserve">Rashodi za nabavu nefinancijske imovine- </w:t>
      </w:r>
      <w:r w:rsidR="009E5367">
        <w:t xml:space="preserve"> </w:t>
      </w:r>
      <w:bookmarkStart w:id="0" w:name="_Hlk125637669"/>
      <w:r w:rsidR="009E5367">
        <w:t>Nabavljena su računala i računalna oprema u iznosu 16.</w:t>
      </w:r>
      <w:r w:rsidR="00755A0D">
        <w:t>887</w:t>
      </w:r>
      <w:r w:rsidR="009E5367">
        <w:t>,</w:t>
      </w:r>
      <w:r w:rsidR="00755A0D">
        <w:t>00</w:t>
      </w:r>
      <w:r w:rsidR="009E5367">
        <w:t xml:space="preserve"> kn, namještaj ( kupljen i doniran) </w:t>
      </w:r>
      <w:r w:rsidR="00755A0D">
        <w:t>42</w:t>
      </w:r>
      <w:r w:rsidR="009E5367">
        <w:t>.2</w:t>
      </w:r>
      <w:r w:rsidR="00755A0D">
        <w:t>00</w:t>
      </w:r>
      <w:r w:rsidR="009E5367">
        <w:t>,</w:t>
      </w:r>
      <w:r w:rsidR="00755A0D">
        <w:t>11</w:t>
      </w:r>
      <w:r w:rsidR="009E5367">
        <w:t xml:space="preserve"> kn, kupljena oprema za </w:t>
      </w:r>
      <w:r w:rsidR="00755A0D">
        <w:t xml:space="preserve">komunikaciju ( telefoni i nova telefonska centrala) </w:t>
      </w:r>
      <w:r w:rsidR="00591469">
        <w:t xml:space="preserve"> 7.076,62 kn,  te ostala oprema ( </w:t>
      </w:r>
      <w:proofErr w:type="spellStart"/>
      <w:r w:rsidR="00591469">
        <w:t>mesoreznica</w:t>
      </w:r>
      <w:proofErr w:type="spellEnd"/>
      <w:r w:rsidR="00591469">
        <w:t xml:space="preserve">, škrinja, interaktivni ekran ) 19.374,97 kn.  </w:t>
      </w:r>
      <w:r w:rsidR="009E5367">
        <w:t xml:space="preserve">Knjige za knjižnicu  u iznosu </w:t>
      </w:r>
      <w:r w:rsidR="00755A0D">
        <w:t>3</w:t>
      </w:r>
      <w:r w:rsidR="009E5367">
        <w:t>.</w:t>
      </w:r>
      <w:r w:rsidR="00755A0D">
        <w:t>0</w:t>
      </w:r>
      <w:r w:rsidR="009E5367">
        <w:t>00,0</w:t>
      </w:r>
      <w:r w:rsidR="00755A0D">
        <w:t>0</w:t>
      </w:r>
      <w:r w:rsidR="009E5367">
        <w:t xml:space="preserve"> kn, te udžbenici  </w:t>
      </w:r>
      <w:r w:rsidR="00755A0D">
        <w:t>22</w:t>
      </w:r>
      <w:r w:rsidR="009E5367">
        <w:t>.</w:t>
      </w:r>
      <w:r w:rsidR="00755A0D">
        <w:t>187</w:t>
      </w:r>
      <w:r w:rsidR="009E5367">
        <w:t>,</w:t>
      </w:r>
      <w:r w:rsidR="00755A0D">
        <w:t>11</w:t>
      </w:r>
      <w:r w:rsidR="009E5367">
        <w:t xml:space="preserve"> kn.</w:t>
      </w:r>
    </w:p>
    <w:bookmarkEnd w:id="0"/>
    <w:p w:rsidR="00D86A1C" w:rsidRDefault="00D86A1C" w:rsidP="003A5EBF">
      <w:pPr>
        <w:pStyle w:val="Bezproreda"/>
      </w:pPr>
    </w:p>
    <w:p w:rsidR="00D86A1C" w:rsidRDefault="00D0066A" w:rsidP="00860251">
      <w:pPr>
        <w:pStyle w:val="Bezproreda"/>
      </w:pPr>
      <w:r>
        <w:t>Bilješka broj 1</w:t>
      </w:r>
      <w:r w:rsidR="009E5367">
        <w:t xml:space="preserve">2 – </w:t>
      </w:r>
      <w:r w:rsidR="00C02164">
        <w:t>92211</w:t>
      </w:r>
      <w:r w:rsidR="00600FB0">
        <w:t xml:space="preserve"> </w:t>
      </w:r>
      <w:r w:rsidR="00EF601A">
        <w:t>- Višak prihoda i primitaka</w:t>
      </w:r>
      <w:r w:rsidR="00600FB0">
        <w:t xml:space="preserve"> </w:t>
      </w:r>
      <w:r w:rsidR="00E53144">
        <w:t xml:space="preserve">– preneseni </w:t>
      </w:r>
      <w:r w:rsidR="00A27AEE">
        <w:t>u prethodnom izvješ</w:t>
      </w:r>
      <w:r w:rsidR="006E58A5">
        <w:t xml:space="preserve">tajnom razdoblju </w:t>
      </w:r>
      <w:r w:rsidR="00600FB0">
        <w:t>iznosi</w:t>
      </w:r>
      <w:r w:rsidR="00AC555D">
        <w:t xml:space="preserve"> </w:t>
      </w:r>
      <w:r w:rsidR="006E58A5">
        <w:t xml:space="preserve"> </w:t>
      </w:r>
      <w:r w:rsidR="009E5367">
        <w:t xml:space="preserve"> </w:t>
      </w:r>
      <w:r w:rsidR="00696FD4">
        <w:t>59.604,89</w:t>
      </w:r>
      <w:r w:rsidR="009E5367">
        <w:t>.kn</w:t>
      </w:r>
      <w:r w:rsidR="00696FD4">
        <w:t>( razlika u odnosu na 31.12.2021. zbog korekcije tj. povrata sredstava u HZZ- 2.667,92 kn)</w:t>
      </w:r>
    </w:p>
    <w:p w:rsidR="009E5367" w:rsidRDefault="009E5367" w:rsidP="00860251">
      <w:pPr>
        <w:pStyle w:val="Bezproreda"/>
      </w:pPr>
    </w:p>
    <w:p w:rsidR="009E5367" w:rsidRDefault="009E5367" w:rsidP="00860251">
      <w:pPr>
        <w:pStyle w:val="Bezproreda"/>
      </w:pPr>
      <w:r>
        <w:t xml:space="preserve">Bilješka broj 13- </w:t>
      </w:r>
      <w:r w:rsidR="00696FD4">
        <w:t>96</w:t>
      </w:r>
      <w:r>
        <w:t xml:space="preserve">- Obračunati prihodi- nenaplaćeni – odnose se na </w:t>
      </w:r>
      <w:r w:rsidR="000B21D3">
        <w:t xml:space="preserve"> potraživanje za Školsku shemu  2.</w:t>
      </w:r>
      <w:r w:rsidR="00696FD4">
        <w:t>1</w:t>
      </w:r>
      <w:r w:rsidR="000B21D3">
        <w:t>7</w:t>
      </w:r>
      <w:r w:rsidR="00696FD4">
        <w:t>2</w:t>
      </w:r>
      <w:r w:rsidR="000B21D3">
        <w:t>,</w:t>
      </w:r>
      <w:r w:rsidR="00696FD4">
        <w:t>99</w:t>
      </w:r>
      <w:r w:rsidR="000B21D3">
        <w:t xml:space="preserve"> kn, uplate za prehranu  učenika 2</w:t>
      </w:r>
      <w:r w:rsidR="00696FD4">
        <w:t>8</w:t>
      </w:r>
      <w:r w:rsidR="000B21D3">
        <w:t>.</w:t>
      </w:r>
      <w:r w:rsidR="00696FD4">
        <w:t>368</w:t>
      </w:r>
      <w:r w:rsidR="000B21D3">
        <w:t>,</w:t>
      </w:r>
      <w:r w:rsidR="00696FD4">
        <w:t>41</w:t>
      </w:r>
      <w:r w:rsidR="000B21D3">
        <w:t xml:space="preserve"> kn i pruženih usluga najma prostora </w:t>
      </w:r>
      <w:r w:rsidR="00696FD4">
        <w:t>350</w:t>
      </w:r>
      <w:r w:rsidR="000B21D3">
        <w:t>,00kn.</w:t>
      </w:r>
    </w:p>
    <w:p w:rsidR="00AC555D" w:rsidRDefault="00AC555D" w:rsidP="00860251">
      <w:pPr>
        <w:pStyle w:val="Bezproreda"/>
      </w:pPr>
    </w:p>
    <w:p w:rsidR="00E53144" w:rsidRDefault="000B21D3" w:rsidP="00860251">
      <w:pPr>
        <w:pStyle w:val="Bezproreda"/>
      </w:pPr>
      <w:r>
        <w:t xml:space="preserve"> Bilješka broj 14 –</w:t>
      </w:r>
      <w:r w:rsidR="00565908">
        <w:t>X005-X006 -</w:t>
      </w:r>
      <w:r w:rsidR="00A27AEE">
        <w:t xml:space="preserve">Višak prihoda i primitaka raspoloživ u sljedećem razdoblju </w:t>
      </w:r>
      <w:r w:rsidR="00AC555D">
        <w:t>– u ovom razdoblju</w:t>
      </w:r>
      <w:r>
        <w:t xml:space="preserve"> ostvaren je </w:t>
      </w:r>
      <w:r w:rsidR="00565908">
        <w:t>višak</w:t>
      </w:r>
      <w:r>
        <w:t xml:space="preserve"> u iznosu </w:t>
      </w:r>
      <w:r w:rsidR="00565908">
        <w:t>4</w:t>
      </w:r>
      <w:r w:rsidR="00A60AB5">
        <w:t>0</w:t>
      </w:r>
      <w:r>
        <w:t>.</w:t>
      </w:r>
      <w:r w:rsidR="00A60AB5">
        <w:t>912</w:t>
      </w:r>
      <w:r w:rsidR="00565908">
        <w:t>,</w:t>
      </w:r>
      <w:r w:rsidR="00A60AB5">
        <w:t>59</w:t>
      </w:r>
      <w:r w:rsidR="00AC555D">
        <w:t xml:space="preserve"> a nakon pribrajan</w:t>
      </w:r>
      <w:r>
        <w:t xml:space="preserve">ja viška iz prethodne godine </w:t>
      </w:r>
      <w:r w:rsidR="00565908">
        <w:t>59</w:t>
      </w:r>
      <w:r>
        <w:t>.</w:t>
      </w:r>
      <w:r w:rsidR="00565908">
        <w:t>604,89</w:t>
      </w:r>
      <w:r w:rsidR="00AC555D">
        <w:t xml:space="preserve"> kn ukupni višak raspoloživ</w:t>
      </w:r>
      <w:r w:rsidR="00D86A1C">
        <w:t xml:space="preserve"> u </w:t>
      </w:r>
      <w:r>
        <w:t xml:space="preserve">sljedećem razdoblju iznosi  </w:t>
      </w:r>
      <w:r w:rsidR="00565908">
        <w:t>10</w:t>
      </w:r>
      <w:r w:rsidR="00A60AB5">
        <w:t>0</w:t>
      </w:r>
      <w:r w:rsidR="00565908">
        <w:t>.</w:t>
      </w:r>
      <w:r w:rsidR="00A60AB5">
        <w:t>517</w:t>
      </w:r>
      <w:r w:rsidR="00565908">
        <w:t>,</w:t>
      </w:r>
      <w:r w:rsidR="00A60AB5">
        <w:t>48</w:t>
      </w:r>
      <w:r w:rsidR="00AC555D">
        <w:t xml:space="preserve"> kn.</w:t>
      </w:r>
    </w:p>
    <w:p w:rsidR="00D86A1C" w:rsidRDefault="00D86A1C" w:rsidP="00860251">
      <w:pPr>
        <w:pStyle w:val="Bezproreda"/>
      </w:pPr>
    </w:p>
    <w:p w:rsidR="0048221B" w:rsidRDefault="00AC555D" w:rsidP="00600FB0">
      <w:pPr>
        <w:pStyle w:val="Bezproreda"/>
      </w:pPr>
      <w:r>
        <w:t>Stanje novčanih sredstava na kraju izvještajno</w:t>
      </w:r>
      <w:r w:rsidR="000B21D3">
        <w:t>g razdoblja (AOP 644) iznosi 1</w:t>
      </w:r>
      <w:r w:rsidR="00565908">
        <w:t>61</w:t>
      </w:r>
      <w:r w:rsidR="000B21D3">
        <w:t>.</w:t>
      </w:r>
      <w:r w:rsidR="00565908">
        <w:t>227,73</w:t>
      </w:r>
      <w:r>
        <w:t xml:space="preserve"> kn i odgovara st</w:t>
      </w:r>
      <w:r w:rsidR="00D86A1C">
        <w:t>anju na izvoda i blagajne na</w:t>
      </w:r>
      <w:r>
        <w:t xml:space="preserve"> dan</w:t>
      </w:r>
      <w:r w:rsidR="000B21D3">
        <w:t xml:space="preserve"> 31.12.202</w:t>
      </w:r>
      <w:r w:rsidR="00565908">
        <w:t>2</w:t>
      </w:r>
      <w:r>
        <w:t>.</w:t>
      </w:r>
    </w:p>
    <w:p w:rsidR="00E805AD" w:rsidRDefault="00E805AD" w:rsidP="00600FB0">
      <w:pPr>
        <w:pStyle w:val="Bezproreda"/>
      </w:pPr>
    </w:p>
    <w:p w:rsidR="00E805AD" w:rsidRDefault="00E805AD" w:rsidP="00600FB0">
      <w:pPr>
        <w:pStyle w:val="Bezproreda"/>
      </w:pPr>
    </w:p>
    <w:p w:rsidR="00E805AD" w:rsidRPr="0030153D" w:rsidRDefault="00CD1FE7" w:rsidP="00600FB0">
      <w:pPr>
        <w:pStyle w:val="Bezproreda"/>
        <w:rPr>
          <w:b/>
        </w:rPr>
      </w:pPr>
      <w:r>
        <w:rPr>
          <w:b/>
        </w:rPr>
        <w:t>2.</w:t>
      </w:r>
      <w:r w:rsidR="00E805AD" w:rsidRPr="0030153D">
        <w:rPr>
          <w:b/>
        </w:rPr>
        <w:t>Bilješke uz Bilancu</w:t>
      </w:r>
    </w:p>
    <w:p w:rsidR="00E805AD" w:rsidRDefault="00E805AD" w:rsidP="00600FB0">
      <w:pPr>
        <w:pStyle w:val="Bezproreda"/>
      </w:pPr>
    </w:p>
    <w:p w:rsidR="00B70AF5" w:rsidRDefault="00496A29" w:rsidP="00B70AF5">
      <w:pPr>
        <w:pStyle w:val="Bezproreda"/>
      </w:pPr>
      <w:r>
        <w:t>Bilješka broj 1</w:t>
      </w:r>
      <w:r w:rsidR="001C4001">
        <w:t xml:space="preserve"> </w:t>
      </w:r>
      <w:r w:rsidR="00B70AF5">
        <w:t>–</w:t>
      </w:r>
      <w:r w:rsidR="001C4001">
        <w:t xml:space="preserve"> 0</w:t>
      </w:r>
      <w:r w:rsidR="00B70AF5">
        <w:t>1</w:t>
      </w:r>
      <w:r>
        <w:t xml:space="preserve">- </w:t>
      </w:r>
      <w:r w:rsidR="00B70AF5">
        <w:t xml:space="preserve">Nabavljena su računala i računalna oprema u iznosu 16.887,00 kn, namještaj ( kupljen i doniran) 42.200,11 kn, kupljena oprema za komunikaciju ( telefoni i nova telefonska centrala)  7.076,62 kn,  te ostala oprema ( </w:t>
      </w:r>
      <w:proofErr w:type="spellStart"/>
      <w:r w:rsidR="00B70AF5">
        <w:t>mesoreznica</w:t>
      </w:r>
      <w:proofErr w:type="spellEnd"/>
      <w:r w:rsidR="00B70AF5">
        <w:t xml:space="preserve">, škrinja, interaktivni ekran ) 19.374,97 kn.  Knjige za knjižnicu  u iznosu 3.000,00 kn, te udžbenici  22.187,11 kn. U vlasništvo škole upisana je računalna oprema </w:t>
      </w:r>
      <w:r w:rsidR="00CD0880">
        <w:t xml:space="preserve">( 232 tableta) donirani od MZO I </w:t>
      </w:r>
      <w:proofErr w:type="spellStart"/>
      <w:r w:rsidR="00CD0880">
        <w:t>Carneta</w:t>
      </w:r>
      <w:proofErr w:type="spellEnd"/>
      <w:r w:rsidR="00CD0880">
        <w:t xml:space="preserve"> 330.583,70 kn.</w:t>
      </w:r>
    </w:p>
    <w:p w:rsidR="00FF1710" w:rsidRDefault="00FF1710" w:rsidP="00600FB0">
      <w:pPr>
        <w:pStyle w:val="Bezproreda"/>
      </w:pPr>
      <w:r>
        <w:t xml:space="preserve">Nabavljen je sitni inventar u iznosu </w:t>
      </w:r>
      <w:r w:rsidR="00CD0880">
        <w:t>9</w:t>
      </w:r>
      <w:r>
        <w:t>.</w:t>
      </w:r>
      <w:r w:rsidR="00CD0880">
        <w:t>784,09</w:t>
      </w:r>
      <w:r>
        <w:t>kn</w:t>
      </w:r>
      <w:r w:rsidR="00CD0880">
        <w:t xml:space="preserve">, a dio je </w:t>
      </w:r>
      <w:proofErr w:type="spellStart"/>
      <w:r w:rsidR="00CD0880">
        <w:t>reklasificiran</w:t>
      </w:r>
      <w:proofErr w:type="spellEnd"/>
      <w:r w:rsidR="00CD0880">
        <w:t xml:space="preserve"> iz sitnog inventara u dugotrajnu imovinu.</w:t>
      </w:r>
      <w:r w:rsidR="00636F1F">
        <w:t xml:space="preserve"> </w:t>
      </w:r>
    </w:p>
    <w:p w:rsidR="00C33837" w:rsidRDefault="00C33837" w:rsidP="00600FB0">
      <w:pPr>
        <w:pStyle w:val="Bezproreda"/>
      </w:pPr>
    </w:p>
    <w:p w:rsidR="00361372" w:rsidRDefault="00A86CE2" w:rsidP="00600FB0">
      <w:pPr>
        <w:pStyle w:val="Bezproreda"/>
      </w:pPr>
      <w:r>
        <w:t>Bilješka broj 2-</w:t>
      </w:r>
      <w:r w:rsidR="00405791">
        <w:t>11-</w:t>
      </w:r>
      <w:r>
        <w:t xml:space="preserve"> </w:t>
      </w:r>
      <w:r w:rsidR="00405791">
        <w:t>povećan</w:t>
      </w:r>
      <w:r>
        <w:t xml:space="preserve"> je iznos stanja novčanih sredstava u odnosu na 01.siječnja jer</w:t>
      </w:r>
      <w:r w:rsidR="001C4001">
        <w:t xml:space="preserve"> </w:t>
      </w:r>
      <w:r w:rsidR="00405791">
        <w:t>nisu</w:t>
      </w:r>
      <w:r w:rsidR="001C4001">
        <w:t xml:space="preserve"> utrošena sredstva viška 202</w:t>
      </w:r>
      <w:r w:rsidR="00405791">
        <w:t>1</w:t>
      </w:r>
      <w:r>
        <w:t>.godine.</w:t>
      </w:r>
      <w:r w:rsidR="001C4001">
        <w:t xml:space="preserve"> Ostala potraživanja </w:t>
      </w:r>
      <w:r w:rsidR="00405791">
        <w:t>-129-</w:t>
      </w:r>
      <w:r w:rsidR="001C4001">
        <w:t>povećana su u odnosu na 01.siječnja zbog bolovanja preko 42 dana.</w:t>
      </w:r>
    </w:p>
    <w:p w:rsidR="00361372" w:rsidRDefault="00361372" w:rsidP="00600FB0">
      <w:pPr>
        <w:pStyle w:val="Bezproreda"/>
      </w:pPr>
    </w:p>
    <w:p w:rsidR="00A86CE2" w:rsidRDefault="001C4001" w:rsidP="00600FB0">
      <w:pPr>
        <w:pStyle w:val="Bezproreda"/>
      </w:pPr>
      <w:r>
        <w:t xml:space="preserve">Bilješka broj 3- </w:t>
      </w:r>
      <w:r w:rsidR="00405791">
        <w:t>16-smanjena</w:t>
      </w:r>
      <w:r w:rsidR="00A86CE2">
        <w:t xml:space="preserve"> su potraživanja u odnosu</w:t>
      </w:r>
      <w:r>
        <w:t xml:space="preserve"> na 01.siječnja </w:t>
      </w:r>
      <w:r w:rsidR="00405791">
        <w:t xml:space="preserve">jer su </w:t>
      </w:r>
      <w:r>
        <w:t xml:space="preserve"> potraživanja od MZO ( pravomoćne sudske presude, testiranja)</w:t>
      </w:r>
      <w:r w:rsidR="00405791">
        <w:t xml:space="preserve"> podmirena,</w:t>
      </w:r>
      <w:r>
        <w:t xml:space="preserve"> </w:t>
      </w:r>
      <w:r w:rsidR="00697675">
        <w:t xml:space="preserve"> a ispravak </w:t>
      </w:r>
      <w:r w:rsidR="00405791">
        <w:t>-169-</w:t>
      </w:r>
      <w:r w:rsidR="00697675">
        <w:t xml:space="preserve">se odnosi na </w:t>
      </w:r>
      <w:r w:rsidR="00A86CE2">
        <w:t xml:space="preserve">potraživanja za školsku kuhinju </w:t>
      </w:r>
    </w:p>
    <w:p w:rsidR="00CB3C40" w:rsidRPr="00361372" w:rsidRDefault="00CB3C40" w:rsidP="00CB3C40">
      <w:pPr>
        <w:spacing w:after="0" w:line="240" w:lineRule="auto"/>
        <w:rPr>
          <w:rFonts w:cs="Arial"/>
        </w:rPr>
      </w:pPr>
      <w:r w:rsidRPr="00361372">
        <w:rPr>
          <w:rFonts w:cs="Arial"/>
        </w:rPr>
        <w:t xml:space="preserve">Stanje nenaplaćenih potraživanja na dan 31.12.2022. iznosi  109.415,79 </w:t>
      </w:r>
      <w:r>
        <w:rPr>
          <w:rFonts w:cs="Arial"/>
        </w:rPr>
        <w:t>:</w:t>
      </w:r>
    </w:p>
    <w:p w:rsidR="00CB3C40" w:rsidRPr="00361372" w:rsidRDefault="00CB3C40" w:rsidP="00CB3C40">
      <w:pPr>
        <w:spacing w:after="0" w:line="240" w:lineRule="auto"/>
        <w:rPr>
          <w:rFonts w:cs="Arial"/>
          <w:b/>
        </w:rPr>
      </w:pP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 xml:space="preserve">Potraživanja za prehranu učenika : 28.400,91; ispravak vrijednosti potraživanja iznosi 32,50 </w:t>
      </w: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Potraživanja od najma prostora : 350,00</w:t>
      </w: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Potraživanja od KZŽ za školsku shemu ( mlijeko i voće): 2.172,99</w:t>
      </w: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Potraživanja od djelatnika za TELE2 račune: 2.342,00</w:t>
      </w: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Potraživanja za bolovanje preko 42 dana : 66.978,07</w:t>
      </w:r>
    </w:p>
    <w:p w:rsidR="00CB3C40" w:rsidRPr="00361372" w:rsidRDefault="00CB3C40" w:rsidP="00CB3C40">
      <w:pPr>
        <w:numPr>
          <w:ilvl w:val="0"/>
          <w:numId w:val="11"/>
        </w:numPr>
        <w:spacing w:after="0" w:line="240" w:lineRule="auto"/>
        <w:contextualSpacing/>
        <w:rPr>
          <w:rFonts w:ascii="Calibri" w:eastAsia="Calibri" w:hAnsi="Calibri" w:cs="Arial"/>
        </w:rPr>
      </w:pPr>
      <w:r w:rsidRPr="00361372">
        <w:rPr>
          <w:rFonts w:ascii="Calibri" w:eastAsia="Calibri" w:hAnsi="Calibri" w:cs="Arial"/>
        </w:rPr>
        <w:t>Potraživanja za doprinose i poreze: 9.171,82</w:t>
      </w:r>
    </w:p>
    <w:p w:rsidR="00A86CE2" w:rsidRDefault="00A86CE2" w:rsidP="00600FB0">
      <w:pPr>
        <w:pStyle w:val="Bezproreda"/>
      </w:pPr>
    </w:p>
    <w:p w:rsidR="00CB3C40" w:rsidRDefault="00CB3C40" w:rsidP="00600FB0">
      <w:pPr>
        <w:pStyle w:val="Bezproreda"/>
      </w:pPr>
    </w:p>
    <w:p w:rsidR="0030153D" w:rsidRDefault="0030153D" w:rsidP="00600FB0">
      <w:pPr>
        <w:pStyle w:val="Bezproreda"/>
      </w:pPr>
      <w:r>
        <w:t>Bilješka broj</w:t>
      </w:r>
      <w:r w:rsidR="00A86CE2">
        <w:t xml:space="preserve"> </w:t>
      </w:r>
      <w:r w:rsidR="00405791">
        <w:t>4</w:t>
      </w:r>
      <w:r w:rsidR="00A86CE2">
        <w:t xml:space="preserve">- </w:t>
      </w:r>
      <w:r w:rsidR="00405791">
        <w:t>2-</w:t>
      </w:r>
      <w:r>
        <w:t xml:space="preserve"> Ukupne nepo</w:t>
      </w:r>
      <w:r w:rsidR="001C4001">
        <w:t>dmirene obveze na dan 31.12.202</w:t>
      </w:r>
      <w:r w:rsidR="00405791">
        <w:t>2</w:t>
      </w:r>
      <w:r>
        <w:t xml:space="preserve">. iznose </w:t>
      </w:r>
      <w:r w:rsidR="00405791">
        <w:t>7</w:t>
      </w:r>
      <w:r w:rsidR="00740B1D">
        <w:t>62</w:t>
      </w:r>
      <w:r w:rsidR="001C4001">
        <w:t>.</w:t>
      </w:r>
      <w:r w:rsidR="00740B1D">
        <w:t>635</w:t>
      </w:r>
      <w:r w:rsidR="00405791">
        <w:t>,</w:t>
      </w:r>
      <w:r w:rsidR="00740B1D">
        <w:t>28</w:t>
      </w:r>
      <w:r w:rsidR="001C4001">
        <w:t xml:space="preserve"> od čega se 5</w:t>
      </w:r>
      <w:r w:rsidR="00405791">
        <w:t>97</w:t>
      </w:r>
      <w:r w:rsidR="001C4001">
        <w:t>.</w:t>
      </w:r>
      <w:r w:rsidR="00405791">
        <w:t>870,40</w:t>
      </w:r>
      <w:r w:rsidR="001C4001">
        <w:t xml:space="preserve"> odnosi na plaće, </w:t>
      </w:r>
      <w:r w:rsidR="00405791">
        <w:t>8</w:t>
      </w:r>
      <w:r w:rsidR="00740B1D">
        <w:t>8</w:t>
      </w:r>
      <w:r w:rsidR="001C4001">
        <w:t>.</w:t>
      </w:r>
      <w:r w:rsidR="00740B1D">
        <w:t>655</w:t>
      </w:r>
      <w:r w:rsidR="00405791">
        <w:t>,</w:t>
      </w:r>
      <w:r w:rsidR="00740B1D">
        <w:t>31</w:t>
      </w:r>
      <w:r w:rsidR="001C4001">
        <w:t xml:space="preserve"> na materijalne rashode, </w:t>
      </w:r>
      <w:r w:rsidR="00405791">
        <w:t>7</w:t>
      </w:r>
      <w:r w:rsidR="00740B1D">
        <w:t>68</w:t>
      </w:r>
      <w:r w:rsidR="00405791">
        <w:t>,</w:t>
      </w:r>
      <w:r w:rsidR="00740B1D">
        <w:t>4</w:t>
      </w:r>
      <w:r w:rsidR="00405791">
        <w:t>4</w:t>
      </w:r>
      <w:r w:rsidR="001C4001">
        <w:t xml:space="preserve"> financijske i ostale obveze </w:t>
      </w:r>
      <w:r w:rsidR="00405791">
        <w:t>75</w:t>
      </w:r>
      <w:r w:rsidR="001C4001">
        <w:t>.</w:t>
      </w:r>
      <w:r w:rsidR="00405791">
        <w:t>101,14</w:t>
      </w:r>
      <w:r>
        <w:t>. Sve o</w:t>
      </w:r>
      <w:r w:rsidR="001C4001">
        <w:t>bveze podmirene su početkom 202</w:t>
      </w:r>
      <w:r w:rsidR="00405791">
        <w:t>3</w:t>
      </w:r>
      <w:r>
        <w:t xml:space="preserve"> godine.</w:t>
      </w:r>
      <w:r w:rsidR="001C4001">
        <w:t xml:space="preserve"> </w:t>
      </w:r>
    </w:p>
    <w:p w:rsidR="001963E2" w:rsidRDefault="001963E2" w:rsidP="00600FB0">
      <w:pPr>
        <w:pStyle w:val="Bezproreda"/>
      </w:pPr>
    </w:p>
    <w:p w:rsidR="001963E2" w:rsidRDefault="001963E2" w:rsidP="00600FB0">
      <w:pPr>
        <w:pStyle w:val="Bezproreda"/>
      </w:pPr>
      <w:r>
        <w:t xml:space="preserve">OBVEZNE BILJEŠKE UZ BILANCU </w:t>
      </w:r>
    </w:p>
    <w:p w:rsidR="001963E2" w:rsidRDefault="001963E2" w:rsidP="001963E2">
      <w:pPr>
        <w:pStyle w:val="Bezproreda"/>
        <w:numPr>
          <w:ilvl w:val="0"/>
          <w:numId w:val="7"/>
        </w:numPr>
      </w:pPr>
      <w:r>
        <w:t xml:space="preserve">Popis ugovornih odnosa i slično koji uz ispunjenje određenih uvjeta, mogu postati obveza ili imovina </w:t>
      </w:r>
    </w:p>
    <w:p w:rsidR="001963E2" w:rsidRDefault="001963E2" w:rsidP="001963E2">
      <w:pPr>
        <w:pStyle w:val="Bezproreda"/>
        <w:ind w:left="360"/>
      </w:pPr>
      <w:r>
        <w:t xml:space="preserve">Škola nema ugovornih odnosa i slično koji uz ispunjenje određenih uvjeta, mogu postati obveza ili imovina </w:t>
      </w:r>
    </w:p>
    <w:p w:rsidR="001963E2" w:rsidRDefault="001963E2" w:rsidP="001963E2">
      <w:pPr>
        <w:pStyle w:val="Bezproreda"/>
        <w:numPr>
          <w:ilvl w:val="0"/>
          <w:numId w:val="7"/>
        </w:numPr>
      </w:pPr>
      <w:r>
        <w:lastRenderedPageBreak/>
        <w:t>Popis sudskih sporova u tijeku</w:t>
      </w:r>
    </w:p>
    <w:p w:rsidR="00CD1FE7" w:rsidRDefault="001C4001" w:rsidP="001C4001">
      <w:pPr>
        <w:pStyle w:val="Bezproreda"/>
        <w:ind w:left="360"/>
      </w:pPr>
      <w:r>
        <w:t xml:space="preserve">Škola </w:t>
      </w:r>
      <w:r w:rsidR="00405791">
        <w:t>nema sudskih sporova u tijeku</w:t>
      </w:r>
    </w:p>
    <w:p w:rsidR="00CD1FE7" w:rsidRDefault="00CD1FE7" w:rsidP="00CD1FE7">
      <w:pPr>
        <w:pStyle w:val="Bezproreda"/>
        <w:ind w:left="360"/>
      </w:pPr>
    </w:p>
    <w:p w:rsidR="00AC555D" w:rsidRDefault="00AC555D" w:rsidP="00600FB0">
      <w:pPr>
        <w:pStyle w:val="Bezproreda"/>
      </w:pPr>
    </w:p>
    <w:p w:rsidR="001303E5" w:rsidRDefault="00CD1FE7" w:rsidP="00CD1FE7">
      <w:pPr>
        <w:rPr>
          <w:b/>
        </w:rPr>
      </w:pPr>
      <w:r>
        <w:rPr>
          <w:b/>
        </w:rPr>
        <w:t>3.Bilješke uz Izvještaj o rashodima prema funkcijskoj klasifikaciji</w:t>
      </w:r>
    </w:p>
    <w:p w:rsidR="00CD1FE7" w:rsidRDefault="00CD1FE7" w:rsidP="00CD1FE7">
      <w:r w:rsidRPr="00CD1FE7">
        <w:t>Bilješka broj 1-Dodatne usluge u obrazovanju – uključeni su rashodi za prehranu učenika</w:t>
      </w:r>
    </w:p>
    <w:p w:rsidR="00CD1FE7" w:rsidRDefault="00CD1FE7" w:rsidP="00CD1FE7"/>
    <w:p w:rsidR="00CD1FE7" w:rsidRPr="00CD1FE7" w:rsidRDefault="00CD1FE7" w:rsidP="00CD1FE7">
      <w:pPr>
        <w:rPr>
          <w:b/>
        </w:rPr>
      </w:pPr>
      <w:r w:rsidRPr="00CD1FE7">
        <w:rPr>
          <w:b/>
        </w:rPr>
        <w:t>4.Bilješke uz Izvještaj o promijeni u vrijednosti i obujmu imovine</w:t>
      </w:r>
    </w:p>
    <w:p w:rsidR="00CD1FE7" w:rsidRDefault="00F84DB9" w:rsidP="00CD1FE7">
      <w:r>
        <w:t xml:space="preserve">Bilješka broj 1- </w:t>
      </w:r>
      <w:proofErr w:type="spellStart"/>
      <w:r>
        <w:t>Neproizvedena</w:t>
      </w:r>
      <w:proofErr w:type="spellEnd"/>
      <w:r>
        <w:t xml:space="preserve"> dugotrajna imovina-  odnosi se na povećanje vrijednosti </w:t>
      </w:r>
      <w:r w:rsidR="00405791">
        <w:t xml:space="preserve">, prenesena računalo od MZO i </w:t>
      </w:r>
      <w:proofErr w:type="spellStart"/>
      <w:r w:rsidR="00405791">
        <w:t>Carnet</w:t>
      </w:r>
      <w:proofErr w:type="spellEnd"/>
      <w:r w:rsidR="001F54B4">
        <w:t xml:space="preserve">, prenesena i otpisana kratkotrajna imovina </w:t>
      </w:r>
      <w:proofErr w:type="spellStart"/>
      <w:r w:rsidR="001F54B4">
        <w:t>Covid</w:t>
      </w:r>
      <w:proofErr w:type="spellEnd"/>
      <w:r w:rsidR="001F54B4">
        <w:t xml:space="preserve"> testovi MUP-a.</w:t>
      </w:r>
    </w:p>
    <w:p w:rsidR="003D6782" w:rsidRPr="002F206B" w:rsidRDefault="003D6782" w:rsidP="00CD1FE7">
      <w:pPr>
        <w:rPr>
          <w:b/>
        </w:rPr>
      </w:pPr>
      <w:r w:rsidRPr="002F206B">
        <w:rPr>
          <w:b/>
        </w:rPr>
        <w:t>5.Bilješke uz Izvještaj o obvezama</w:t>
      </w:r>
    </w:p>
    <w:p w:rsidR="001303E5" w:rsidRDefault="001303E5" w:rsidP="003A5EBF">
      <w:pPr>
        <w:pStyle w:val="Bezproreda"/>
      </w:pPr>
      <w:r>
        <w:t xml:space="preserve">Bilješka broj  </w:t>
      </w:r>
      <w:r w:rsidR="003D6782">
        <w:t>1</w:t>
      </w:r>
      <w:r w:rsidR="00B56E26">
        <w:t xml:space="preserve"> </w:t>
      </w:r>
      <w:r w:rsidR="00405791">
        <w:t>-V</w:t>
      </w:r>
      <w:r w:rsidR="00EC433C">
        <w:t xml:space="preserve"> 0</w:t>
      </w:r>
      <w:r w:rsidR="000C4545">
        <w:t>01</w:t>
      </w:r>
      <w:r w:rsidR="00405791">
        <w:t>-</w:t>
      </w:r>
      <w:r w:rsidR="00EC433C">
        <w:t xml:space="preserve"> S</w:t>
      </w:r>
      <w:r>
        <w:t>tanje obveza</w:t>
      </w:r>
      <w:r w:rsidR="005C272E">
        <w:t xml:space="preserve"> 1.siječnja</w:t>
      </w:r>
      <w:r w:rsidR="00D767A8">
        <w:t>-</w:t>
      </w:r>
      <w:r w:rsidR="005C272E">
        <w:t xml:space="preserve">  </w:t>
      </w:r>
      <w:r w:rsidR="00405791">
        <w:t>659</w:t>
      </w:r>
      <w:r w:rsidR="00F84DB9">
        <w:t>.</w:t>
      </w:r>
      <w:r w:rsidR="00405791">
        <w:t>701,65</w:t>
      </w:r>
      <w:r w:rsidR="005C272E">
        <w:t xml:space="preserve"> odnosi se na</w:t>
      </w:r>
      <w:r w:rsidR="00F84DB9">
        <w:t xml:space="preserve"> plaću i naknade za prosinac 202</w:t>
      </w:r>
      <w:r w:rsidR="00405791">
        <w:t>1</w:t>
      </w:r>
      <w:r w:rsidR="005C272E">
        <w:t>. te na re</w:t>
      </w:r>
      <w:r w:rsidR="00F84DB9">
        <w:t>žijske troškove iz prosinca 202</w:t>
      </w:r>
      <w:r w:rsidR="00405791">
        <w:t>1</w:t>
      </w:r>
      <w:r w:rsidR="005C272E">
        <w:t xml:space="preserve">. za koje su računi zaprimljeni </w:t>
      </w:r>
      <w:r w:rsidR="005B512B">
        <w:t xml:space="preserve">i podmireni </w:t>
      </w:r>
      <w:r w:rsidR="00F84DB9">
        <w:t>u siječnju 202</w:t>
      </w:r>
      <w:r w:rsidR="00EA09C1">
        <w:t>3</w:t>
      </w:r>
      <w:r w:rsidR="005C272E">
        <w:t xml:space="preserve">. </w:t>
      </w:r>
    </w:p>
    <w:p w:rsidR="00275D3A" w:rsidRDefault="001303E5" w:rsidP="00EF2CE5">
      <w:pPr>
        <w:pStyle w:val="Bezproreda"/>
      </w:pPr>
      <w:r>
        <w:t xml:space="preserve">Bilješka broj </w:t>
      </w:r>
      <w:r w:rsidR="003D6782">
        <w:t>2</w:t>
      </w:r>
      <w:r>
        <w:t>–</w:t>
      </w:r>
      <w:r w:rsidR="008E0F96">
        <w:t>V006</w:t>
      </w:r>
      <w:r w:rsidR="00D767A8">
        <w:t>-</w:t>
      </w:r>
      <w:r>
        <w:t xml:space="preserve"> Stanje </w:t>
      </w:r>
      <w:r w:rsidR="00D56B19">
        <w:t>obveza na kraju izvješ</w:t>
      </w:r>
      <w:r w:rsidR="002C59C5">
        <w:t>ta</w:t>
      </w:r>
      <w:r w:rsidR="00F84DB9">
        <w:t xml:space="preserve">jnog razdoblja iznosi ukupno </w:t>
      </w:r>
      <w:r w:rsidR="008E0F96">
        <w:t>7</w:t>
      </w:r>
      <w:r w:rsidR="00740B1D">
        <w:t>62</w:t>
      </w:r>
      <w:r w:rsidR="00F84DB9">
        <w:t>.</w:t>
      </w:r>
      <w:r w:rsidR="00740B1D">
        <w:t>635</w:t>
      </w:r>
      <w:r w:rsidR="008E0F96">
        <w:t>,</w:t>
      </w:r>
      <w:r w:rsidR="00740B1D">
        <w:t>28</w:t>
      </w:r>
      <w:r w:rsidR="00D56B19">
        <w:t xml:space="preserve"> kuna, od čega su nedospjele obveze</w:t>
      </w:r>
      <w:r w:rsidR="00F84DB9">
        <w:t xml:space="preserve"> </w:t>
      </w:r>
      <w:r w:rsidR="008E0F96">
        <w:t>75</w:t>
      </w:r>
      <w:r w:rsidR="00740B1D">
        <w:t>7</w:t>
      </w:r>
      <w:r w:rsidR="00D71BB9">
        <w:t>.</w:t>
      </w:r>
      <w:r w:rsidR="00740B1D">
        <w:t>823</w:t>
      </w:r>
      <w:r w:rsidR="008E0F96">
        <w:t>,</w:t>
      </w:r>
      <w:r w:rsidR="00740B1D">
        <w:t>63</w:t>
      </w:r>
      <w:r w:rsidR="00D56B19">
        <w:t xml:space="preserve"> </w:t>
      </w:r>
      <w:r w:rsidR="00D767A8">
        <w:t xml:space="preserve"> kuna</w:t>
      </w:r>
      <w:r w:rsidR="008E0F96">
        <w:t>, a dospjele 4.811,65 kn. Sve obveze podmirene se u siječnju 2023 godine.</w:t>
      </w:r>
    </w:p>
    <w:p w:rsidR="000C70F9" w:rsidRDefault="000C70F9" w:rsidP="002A72D8"/>
    <w:p w:rsidR="002F206B" w:rsidRDefault="00450783" w:rsidP="002F206B">
      <w:pPr>
        <w:pStyle w:val="Bezproreda"/>
      </w:pPr>
      <w:r>
        <w:t xml:space="preserve">U </w:t>
      </w:r>
      <w:r w:rsidR="002F206B">
        <w:t xml:space="preserve">Krapinskim Toplicama,  </w:t>
      </w:r>
      <w:r w:rsidR="001F54B4">
        <w:t>03</w:t>
      </w:r>
      <w:r w:rsidR="008E1117">
        <w:t>.0</w:t>
      </w:r>
      <w:r w:rsidR="001F54B4">
        <w:t>2</w:t>
      </w:r>
      <w:r w:rsidR="008E1117">
        <w:t>.202</w:t>
      </w:r>
      <w:r w:rsidR="008E0F96">
        <w:t>3</w:t>
      </w:r>
      <w:r w:rsidR="000C70F9">
        <w:t>.</w:t>
      </w:r>
    </w:p>
    <w:p w:rsidR="002F206B" w:rsidRDefault="002F206B" w:rsidP="002F206B">
      <w:pPr>
        <w:pStyle w:val="Bezproreda"/>
      </w:pPr>
    </w:p>
    <w:p w:rsidR="002F206B" w:rsidRDefault="002F206B" w:rsidP="002F206B">
      <w:pPr>
        <w:pStyle w:val="Bezproreda"/>
      </w:pPr>
      <w:r>
        <w:t>Osoba za kontaktiranje:</w:t>
      </w:r>
    </w:p>
    <w:p w:rsidR="00240005" w:rsidRDefault="000C70F9" w:rsidP="002F206B">
      <w:pPr>
        <w:pStyle w:val="Bezproreda"/>
        <w:jc w:val="right"/>
      </w:pPr>
      <w:r>
        <w:tab/>
      </w:r>
      <w:r w:rsidR="00240005">
        <w:tab/>
      </w:r>
      <w:r w:rsidR="00240005">
        <w:tab/>
      </w:r>
      <w:r w:rsidR="00BB191C">
        <w:t xml:space="preserve">   </w:t>
      </w:r>
      <w:r w:rsidR="00240005">
        <w:tab/>
      </w:r>
      <w:r w:rsidR="00BB191C">
        <w:t xml:space="preserve">                                        </w:t>
      </w:r>
      <w:r w:rsidR="002F206B">
        <w:t xml:space="preserve">                 </w:t>
      </w:r>
      <w:r w:rsidR="00240005">
        <w:t>Odgovorna osoba:</w:t>
      </w:r>
    </w:p>
    <w:p w:rsidR="00240005" w:rsidRDefault="00FE224E" w:rsidP="00240005">
      <w:pPr>
        <w:pStyle w:val="Bezproreda"/>
      </w:pPr>
      <w:r>
        <w:t xml:space="preserve">Marija </w:t>
      </w:r>
      <w:proofErr w:type="spellStart"/>
      <w:r>
        <w:t>Hruš</w:t>
      </w:r>
      <w:proofErr w:type="spellEnd"/>
      <w:r w:rsidR="00240005">
        <w:tab/>
      </w:r>
      <w:r w:rsidR="00240005">
        <w:tab/>
      </w:r>
      <w:r w:rsidR="00240005">
        <w:tab/>
      </w:r>
      <w:r w:rsidR="00BB191C">
        <w:t xml:space="preserve">                                     </w:t>
      </w:r>
      <w:r w:rsidR="002F206B">
        <w:t xml:space="preserve">                                                    </w:t>
      </w:r>
      <w:r>
        <w:t>SAMSON ŠTIBOHAR</w:t>
      </w:r>
    </w:p>
    <w:p w:rsidR="000C70F9" w:rsidRDefault="00FE224E" w:rsidP="002A72D8">
      <w:r>
        <w:t>Telefon: 049/232-160</w:t>
      </w:r>
      <w:r w:rsidR="000C70F9">
        <w:tab/>
      </w:r>
      <w:r w:rsidR="000C70F9">
        <w:tab/>
      </w:r>
      <w:r w:rsidR="000C70F9">
        <w:tab/>
      </w:r>
      <w:r w:rsidR="000C70F9">
        <w:tab/>
      </w:r>
    </w:p>
    <w:p w:rsidR="000C70F9" w:rsidRDefault="000C70F9" w:rsidP="00240005">
      <w:r>
        <w:tab/>
      </w:r>
      <w:r>
        <w:tab/>
      </w:r>
      <w:r>
        <w:tab/>
      </w:r>
      <w:r>
        <w:tab/>
      </w:r>
      <w:r>
        <w:tab/>
      </w:r>
      <w:r>
        <w:tab/>
      </w:r>
      <w:r>
        <w:tab/>
      </w:r>
      <w:r>
        <w:tab/>
      </w:r>
    </w:p>
    <w:p w:rsidR="00673FC5" w:rsidRDefault="000C70F9" w:rsidP="002A72D8">
      <w:r>
        <w:tab/>
      </w:r>
      <w:r>
        <w:tab/>
      </w:r>
      <w:r>
        <w:tab/>
      </w:r>
      <w:r>
        <w:tab/>
      </w:r>
      <w:r>
        <w:tab/>
      </w:r>
      <w:r>
        <w:tab/>
      </w:r>
    </w:p>
    <w:p w:rsidR="00673FC5" w:rsidRDefault="00673FC5" w:rsidP="002A72D8"/>
    <w:tbl>
      <w:tblPr>
        <w:tblW w:w="14689" w:type="dxa"/>
        <w:tblLook w:val="04A0" w:firstRow="1" w:lastRow="0" w:firstColumn="1" w:lastColumn="0" w:noHBand="0" w:noVBand="1"/>
      </w:tblPr>
      <w:tblGrid>
        <w:gridCol w:w="1158"/>
        <w:gridCol w:w="2520"/>
        <w:gridCol w:w="1569"/>
        <w:gridCol w:w="2281"/>
        <w:gridCol w:w="1892"/>
        <w:gridCol w:w="1097"/>
        <w:gridCol w:w="1219"/>
        <w:gridCol w:w="1047"/>
        <w:gridCol w:w="1293"/>
        <w:gridCol w:w="960"/>
        <w:gridCol w:w="960"/>
      </w:tblGrid>
      <w:tr w:rsidR="00673FC5" w:rsidRPr="00673FC5" w:rsidTr="00673FC5">
        <w:trPr>
          <w:trHeight w:val="300"/>
        </w:trPr>
        <w:tc>
          <w:tcPr>
            <w:tcW w:w="4804"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REPUBLIKA HRVATSKA</w:t>
            </w: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ŠIFRA ŽUPANIJE : 2</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4804"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NADLEŽNO MINISTARSTVO</w:t>
            </w: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ŠIFRA OPĆINE : 212</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085" w:type="dxa"/>
            <w:gridSpan w:val="4"/>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 ZNANOSTI,OBRAZOVANJA I ŠPORTA –</w:t>
            </w: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RAZINA :31</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RKP: 0016019</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085" w:type="dxa"/>
            <w:gridSpan w:val="4"/>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OSNOVNA ŠKOLA KRAPINSKE  TOPLICE</w:t>
            </w: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MB : 03016374</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4804"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KRAPINSKE  TOPLICE</w:t>
            </w: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OIB : 46106875125</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3235"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ZAGREBAČKA 12</w:t>
            </w: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ŠIFRA : 8520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920"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RAZDJEL : 000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13729" w:type="dxa"/>
            <w:gridSpan w:val="10"/>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r w:rsidRPr="00673FC5">
              <w:rPr>
                <w:rFonts w:ascii="Times New Roman" w:eastAsia="Times New Roman" w:hAnsi="Times New Roman" w:cs="Times New Roman"/>
                <w:color w:val="000000"/>
                <w:szCs w:val="20"/>
                <w:lang w:eastAsia="hr-HR"/>
              </w:rPr>
              <w:t>Tablica 1.  Popis ugovornih odnosa i slično koji uz ispunjenje određenih uvjeta, mogu postati obveza ili imovina</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8214" w:type="dxa"/>
            <w:gridSpan w:val="4"/>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r w:rsidRPr="00673FC5">
              <w:rPr>
                <w:rFonts w:ascii="Calibri" w:eastAsia="Times New Roman" w:hAnsi="Calibri" w:cs="Calibri"/>
                <w:color w:val="000000"/>
                <w:lang w:eastAsia="hr-HR"/>
              </w:rPr>
              <w:t>(dana kreditna pisma, hipoteke i slično)</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Red. br.</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Datum izdavanja /primanja jamstva</w:t>
            </w:r>
          </w:p>
        </w:tc>
        <w:tc>
          <w:tcPr>
            <w:tcW w:w="1569"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Instrument osiguranja</w:t>
            </w:r>
          </w:p>
        </w:tc>
        <w:tc>
          <w:tcPr>
            <w:tcW w:w="2281"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Iznos danog/primljenog jamstva</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Primatelj/davatelj jamstva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Namjena</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Dokument</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Rok važenja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r w:rsidRPr="00673FC5">
              <w:rPr>
                <w:rFonts w:ascii="Arial" w:eastAsia="Times New Roman" w:hAnsi="Arial" w:cs="Arial"/>
                <w:szCs w:val="16"/>
                <w:lang w:eastAsia="hr-HR"/>
              </w:rPr>
              <w:t>Napomena</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Cs w:val="16"/>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Cs w:val="16"/>
                <w:lang w:eastAsia="hr-HR"/>
              </w:rPr>
            </w:pPr>
            <w:r w:rsidRPr="00673FC5">
              <w:rPr>
                <w:rFonts w:ascii="Arial" w:eastAsia="Times New Roman" w:hAnsi="Arial" w:cs="Arial"/>
                <w:b/>
                <w:bCs/>
                <w:szCs w:val="16"/>
                <w:lang w:eastAsia="hr-HR"/>
              </w:rPr>
              <w:t>1.</w:t>
            </w:r>
          </w:p>
        </w:tc>
        <w:tc>
          <w:tcPr>
            <w:tcW w:w="252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56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2281"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8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87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047"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Cs w:val="16"/>
                <w:lang w:eastAsia="hr-HR"/>
              </w:rPr>
            </w:pPr>
            <w:r w:rsidRPr="00673FC5">
              <w:rPr>
                <w:rFonts w:ascii="Arial" w:eastAsia="Times New Roman" w:hAnsi="Arial" w:cs="Arial"/>
                <w:b/>
                <w:bCs/>
                <w:szCs w:val="16"/>
                <w:lang w:eastAsia="hr-HR"/>
              </w:rPr>
              <w:t>2.</w:t>
            </w:r>
          </w:p>
        </w:tc>
        <w:tc>
          <w:tcPr>
            <w:tcW w:w="252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56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2281"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8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87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1047"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r w:rsidRPr="00673FC5">
              <w:rPr>
                <w:rFonts w:ascii="Arial" w:eastAsia="Times New Roman" w:hAnsi="Arial" w:cs="Arial"/>
                <w:b/>
                <w:bCs/>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Cs w:val="16"/>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szCs w:val="16"/>
                <w:lang w:eastAsia="hr-HR"/>
              </w:rPr>
            </w:pPr>
            <w:r w:rsidRPr="00673FC5">
              <w:rPr>
                <w:rFonts w:ascii="Arial" w:eastAsia="Times New Roman" w:hAnsi="Arial" w:cs="Arial"/>
                <w:szCs w:val="16"/>
                <w:lang w:eastAsia="hr-HR"/>
              </w:rPr>
              <w:t>3.</w:t>
            </w:r>
          </w:p>
        </w:tc>
        <w:tc>
          <w:tcPr>
            <w:tcW w:w="252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56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2281"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8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87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047"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szCs w:val="16"/>
                <w:lang w:eastAsia="hr-HR"/>
              </w:rPr>
            </w:pPr>
            <w:r w:rsidRPr="00673FC5">
              <w:rPr>
                <w:rFonts w:ascii="Arial" w:eastAsia="Times New Roman" w:hAnsi="Arial" w:cs="Arial"/>
                <w:szCs w:val="16"/>
                <w:lang w:eastAsia="hr-HR"/>
              </w:rPr>
              <w:t>UKUPNO</w:t>
            </w:r>
          </w:p>
        </w:tc>
        <w:tc>
          <w:tcPr>
            <w:tcW w:w="252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56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2281"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8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87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1047"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r w:rsidRPr="00673FC5">
              <w:rPr>
                <w:rFonts w:ascii="Arial" w:eastAsia="Times New Roman" w:hAnsi="Arial" w:cs="Arial"/>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Cs w:val="16"/>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Cs w:val="20"/>
                <w:lang w:eastAsia="hr-HR"/>
              </w:rPr>
            </w:pPr>
          </w:p>
        </w:tc>
      </w:tr>
      <w:tr w:rsidR="00673FC5" w:rsidRPr="00673FC5" w:rsidTr="00673FC5">
        <w:trPr>
          <w:trHeight w:val="300"/>
        </w:trPr>
        <w:tc>
          <w:tcPr>
            <w:tcW w:w="3235" w:type="dxa"/>
            <w:gridSpan w:val="2"/>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r w:rsidRPr="00673FC5">
              <w:rPr>
                <w:rFonts w:ascii="Calibri" w:eastAsia="Times New Roman" w:hAnsi="Calibri" w:cs="Calibri"/>
                <w:color w:val="000000"/>
                <w:lang w:eastAsia="hr-HR"/>
              </w:rPr>
              <w:t>Ravnatelj:</w:t>
            </w: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3235" w:type="dxa"/>
            <w:gridSpan w:val="2"/>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r w:rsidRPr="00673FC5">
              <w:rPr>
                <w:rFonts w:ascii="Calibri" w:eastAsia="Times New Roman" w:hAnsi="Calibri" w:cs="Calibri"/>
                <w:color w:val="000000"/>
                <w:lang w:eastAsia="hr-HR"/>
              </w:rPr>
              <w:t xml:space="preserve">Samson </w:t>
            </w:r>
            <w:proofErr w:type="spellStart"/>
            <w:r w:rsidRPr="00673FC5">
              <w:rPr>
                <w:rFonts w:ascii="Calibri" w:eastAsia="Times New Roman" w:hAnsi="Calibri" w:cs="Calibri"/>
                <w:color w:val="000000"/>
                <w:lang w:eastAsia="hr-HR"/>
              </w:rPr>
              <w:t>Štibohar</w:t>
            </w:r>
            <w:proofErr w:type="spellEnd"/>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715"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52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56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281"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7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bl>
    <w:p w:rsidR="00673FC5" w:rsidRDefault="00673FC5" w:rsidP="002A72D8"/>
    <w:p w:rsidR="00673FC5" w:rsidRDefault="00673FC5" w:rsidP="002A72D8"/>
    <w:p w:rsidR="00673FC5" w:rsidRDefault="00673FC5" w:rsidP="002A72D8">
      <w:bookmarkStart w:id="1" w:name="_GoBack"/>
      <w:bookmarkEnd w:id="1"/>
    </w:p>
    <w:p w:rsidR="00673FC5" w:rsidRDefault="00673FC5" w:rsidP="002A72D8"/>
    <w:tbl>
      <w:tblPr>
        <w:tblW w:w="14850" w:type="dxa"/>
        <w:tblLook w:val="04A0" w:firstRow="1" w:lastRow="0" w:firstColumn="1" w:lastColumn="0" w:noHBand="0" w:noVBand="1"/>
      </w:tblPr>
      <w:tblGrid>
        <w:gridCol w:w="1117"/>
        <w:gridCol w:w="924"/>
        <w:gridCol w:w="839"/>
        <w:gridCol w:w="1800"/>
        <w:gridCol w:w="1044"/>
        <w:gridCol w:w="2049"/>
        <w:gridCol w:w="3463"/>
        <w:gridCol w:w="1694"/>
        <w:gridCol w:w="999"/>
        <w:gridCol w:w="960"/>
      </w:tblGrid>
      <w:tr w:rsidR="00673FC5" w:rsidRPr="00673FC5" w:rsidTr="00673FC5">
        <w:trPr>
          <w:trHeight w:val="300"/>
        </w:trPr>
        <w:tc>
          <w:tcPr>
            <w:tcW w:w="2880"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REPUBLIKA HRVATSKA</w:t>
            </w: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ŠIFRA ŽUPANIJE : 2</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2880"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NADLEŽNO MINISTARSTVO</w:t>
            </w: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ŠIFRA OPĆINE : 212</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4680" w:type="dxa"/>
            <w:gridSpan w:val="4"/>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 ZNANOSTI,OBRAZOVANJA I ŠPORTA –</w:t>
            </w: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RAZINA :31</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1117"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2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RKP: 0016019</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4680" w:type="dxa"/>
            <w:gridSpan w:val="4"/>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OSNOVNA ŠKOLA KRAPINSKE  TOPLICE</w:t>
            </w: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MB : 03016374</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2880" w:type="dxa"/>
            <w:gridSpan w:val="3"/>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KRAPINSKE  TOPLICE</w:t>
            </w: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OIB : 46106875125</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2041"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ZAGREBAČKA 12</w:t>
            </w: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ŠIFRA : 8520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1117"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2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5157" w:type="dxa"/>
            <w:gridSpan w:val="2"/>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RAZDJEL : 000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1117" w:type="dxa"/>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2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4680" w:type="dxa"/>
            <w:gridSpan w:val="4"/>
            <w:tcBorders>
              <w:top w:val="nil"/>
              <w:left w:val="nil"/>
              <w:bottom w:val="nil"/>
              <w:right w:val="nil"/>
            </w:tcBorders>
            <w:shd w:val="clear" w:color="auto" w:fill="auto"/>
            <w:noWrap/>
            <w:vAlign w:val="center"/>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r w:rsidRPr="00673FC5">
              <w:rPr>
                <w:rFonts w:ascii="Times New Roman" w:eastAsia="Times New Roman" w:hAnsi="Times New Roman" w:cs="Times New Roman"/>
                <w:color w:val="000000"/>
                <w:sz w:val="20"/>
                <w:szCs w:val="20"/>
                <w:lang w:eastAsia="hr-HR"/>
              </w:rPr>
              <w:t>Tablica . Popis sudskih sporova u tijeku</w:t>
            </w: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color w:val="000000"/>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Red. br.</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Tuženik</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Tužitelj</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Sažeti opis prirode spora</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Iznos glavnice</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Procjena financijskog učinka</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Procijenjeno vrijeme odljeva ili priljeva sredstava</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Početak sudskog spora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r w:rsidRPr="00673FC5">
              <w:rPr>
                <w:rFonts w:ascii="Arial" w:eastAsia="Times New Roman" w:hAnsi="Arial" w:cs="Arial"/>
                <w:sz w:val="16"/>
                <w:szCs w:val="16"/>
                <w:lang w:eastAsia="hr-HR"/>
              </w:rPr>
              <w:t>Napomena</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center"/>
              <w:rPr>
                <w:rFonts w:ascii="Arial" w:eastAsia="Times New Roman" w:hAnsi="Arial" w:cs="Arial"/>
                <w:sz w:val="16"/>
                <w:szCs w:val="16"/>
                <w:lang w:eastAsia="hr-HR"/>
              </w:rPr>
            </w:pPr>
          </w:p>
        </w:tc>
      </w:tr>
      <w:tr w:rsidR="00673FC5" w:rsidRPr="00673FC5" w:rsidTr="00673FC5">
        <w:trPr>
          <w:trHeight w:val="300"/>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1.</w:t>
            </w:r>
          </w:p>
        </w:tc>
        <w:tc>
          <w:tcPr>
            <w:tcW w:w="92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83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180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204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346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169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p>
        </w:tc>
      </w:tr>
      <w:tr w:rsidR="00673FC5" w:rsidRPr="00673FC5" w:rsidTr="00673FC5">
        <w:trPr>
          <w:trHeight w:val="300"/>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2.</w:t>
            </w:r>
          </w:p>
        </w:tc>
        <w:tc>
          <w:tcPr>
            <w:tcW w:w="92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83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180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10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 </w:t>
            </w:r>
          </w:p>
        </w:tc>
        <w:tc>
          <w:tcPr>
            <w:tcW w:w="204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346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169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r w:rsidRPr="00673FC5">
              <w:rPr>
                <w:rFonts w:ascii="Arial" w:eastAsia="Times New Roman" w:hAnsi="Arial" w:cs="Arial"/>
                <w:b/>
                <w:bCs/>
                <w:sz w:val="16"/>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b/>
                <w:bCs/>
                <w:sz w:val="16"/>
                <w:szCs w:val="16"/>
                <w:lang w:eastAsia="hr-HR"/>
              </w:rPr>
            </w:pPr>
          </w:p>
        </w:tc>
      </w:tr>
      <w:tr w:rsidR="00673FC5" w:rsidRPr="00673FC5" w:rsidTr="00673FC5">
        <w:trPr>
          <w:trHeight w:val="300"/>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sz w:val="16"/>
                <w:szCs w:val="16"/>
                <w:lang w:eastAsia="hr-HR"/>
              </w:rPr>
            </w:pPr>
            <w:r w:rsidRPr="00673FC5">
              <w:rPr>
                <w:rFonts w:ascii="Arial" w:eastAsia="Times New Roman" w:hAnsi="Arial" w:cs="Arial"/>
                <w:sz w:val="16"/>
                <w:szCs w:val="16"/>
                <w:lang w:eastAsia="hr-HR"/>
              </w:rPr>
              <w:t>3.</w:t>
            </w:r>
          </w:p>
        </w:tc>
        <w:tc>
          <w:tcPr>
            <w:tcW w:w="92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83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80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0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204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346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69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p>
        </w:tc>
      </w:tr>
      <w:tr w:rsidR="00673FC5" w:rsidRPr="00673FC5" w:rsidTr="00673FC5">
        <w:trPr>
          <w:trHeight w:val="300"/>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sz w:val="16"/>
                <w:szCs w:val="16"/>
                <w:lang w:eastAsia="hr-HR"/>
              </w:rPr>
            </w:pPr>
            <w:r w:rsidRPr="00673FC5">
              <w:rPr>
                <w:rFonts w:ascii="Arial" w:eastAsia="Times New Roman" w:hAnsi="Arial" w:cs="Arial"/>
                <w:sz w:val="16"/>
                <w:szCs w:val="16"/>
                <w:lang w:eastAsia="hr-HR"/>
              </w:rPr>
              <w:t>UKUPNO</w:t>
            </w:r>
          </w:p>
        </w:tc>
        <w:tc>
          <w:tcPr>
            <w:tcW w:w="92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83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80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04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rPr>
                <w:rFonts w:ascii="Arial" w:eastAsia="Times New Roman" w:hAnsi="Arial" w:cs="Arial"/>
                <w:sz w:val="16"/>
                <w:szCs w:val="16"/>
                <w:lang w:eastAsia="hr-HR"/>
              </w:rPr>
            </w:pPr>
            <w:r w:rsidRPr="00673FC5">
              <w:rPr>
                <w:rFonts w:ascii="Arial" w:eastAsia="Times New Roman" w:hAnsi="Arial" w:cs="Arial"/>
                <w:sz w:val="16"/>
                <w:szCs w:val="16"/>
                <w:lang w:eastAsia="hr-HR"/>
              </w:rPr>
              <w:t> </w:t>
            </w:r>
          </w:p>
        </w:tc>
        <w:tc>
          <w:tcPr>
            <w:tcW w:w="2049"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3463"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1694"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r w:rsidRPr="00673FC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jc w:val="right"/>
              <w:rPr>
                <w:rFonts w:ascii="Arial" w:eastAsia="Times New Roman" w:hAnsi="Arial" w:cs="Arial"/>
                <w:sz w:val="16"/>
                <w:szCs w:val="16"/>
                <w:lang w:eastAsia="hr-HR"/>
              </w:rPr>
            </w:pPr>
          </w:p>
        </w:tc>
      </w:tr>
      <w:tr w:rsidR="00673FC5" w:rsidRPr="00673FC5" w:rsidTr="00673FC5">
        <w:trPr>
          <w:trHeight w:val="300"/>
        </w:trPr>
        <w:tc>
          <w:tcPr>
            <w:tcW w:w="111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2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2041" w:type="dxa"/>
            <w:gridSpan w:val="2"/>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r w:rsidRPr="00673FC5">
              <w:rPr>
                <w:rFonts w:ascii="Calibri" w:eastAsia="Times New Roman" w:hAnsi="Calibri" w:cs="Calibri"/>
                <w:color w:val="000000"/>
                <w:lang w:eastAsia="hr-HR"/>
              </w:rPr>
              <w:t>Ravnatelj:</w:t>
            </w: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2041" w:type="dxa"/>
            <w:gridSpan w:val="2"/>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r w:rsidRPr="00673FC5">
              <w:rPr>
                <w:rFonts w:ascii="Calibri" w:eastAsia="Times New Roman" w:hAnsi="Calibri" w:cs="Calibri"/>
                <w:color w:val="000000"/>
                <w:lang w:eastAsia="hr-HR"/>
              </w:rPr>
              <w:t xml:space="preserve">Samson </w:t>
            </w:r>
            <w:proofErr w:type="spellStart"/>
            <w:r w:rsidRPr="00673FC5">
              <w:rPr>
                <w:rFonts w:ascii="Calibri" w:eastAsia="Times New Roman" w:hAnsi="Calibri" w:cs="Calibri"/>
                <w:color w:val="000000"/>
                <w:lang w:eastAsia="hr-HR"/>
              </w:rPr>
              <w:t>Štibohar</w:t>
            </w:r>
            <w:proofErr w:type="spellEnd"/>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Calibri" w:eastAsia="Times New Roman" w:hAnsi="Calibri" w:cs="Calibri"/>
                <w:color w:val="00000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r w:rsidR="00673FC5" w:rsidRPr="00673FC5" w:rsidTr="00673FC5">
        <w:trPr>
          <w:trHeight w:val="300"/>
        </w:trPr>
        <w:tc>
          <w:tcPr>
            <w:tcW w:w="1117"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2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80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3463"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1694"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73FC5" w:rsidRPr="00673FC5" w:rsidRDefault="00673FC5" w:rsidP="00673FC5">
            <w:pPr>
              <w:spacing w:after="0" w:line="240" w:lineRule="auto"/>
              <w:rPr>
                <w:rFonts w:ascii="Times New Roman" w:eastAsia="Times New Roman" w:hAnsi="Times New Roman" w:cs="Times New Roman"/>
                <w:sz w:val="20"/>
                <w:szCs w:val="20"/>
                <w:lang w:eastAsia="hr-HR"/>
              </w:rPr>
            </w:pPr>
          </w:p>
        </w:tc>
      </w:tr>
    </w:tbl>
    <w:p w:rsidR="00673FC5" w:rsidRDefault="00673FC5" w:rsidP="002A72D8"/>
    <w:sectPr w:rsidR="00673FC5" w:rsidSect="00673FC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0C1" w:rsidRDefault="002270C1" w:rsidP="00DF7FCA">
      <w:pPr>
        <w:spacing w:after="0" w:line="240" w:lineRule="auto"/>
      </w:pPr>
      <w:r>
        <w:separator/>
      </w:r>
    </w:p>
  </w:endnote>
  <w:endnote w:type="continuationSeparator" w:id="0">
    <w:p w:rsidR="002270C1" w:rsidRDefault="002270C1" w:rsidP="00D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954009"/>
      <w:docPartObj>
        <w:docPartGallery w:val="Page Numbers (Bottom of Page)"/>
        <w:docPartUnique/>
      </w:docPartObj>
    </w:sdtPr>
    <w:sdtEndPr/>
    <w:sdtContent>
      <w:p w:rsidR="00DF7FCA" w:rsidRDefault="00DF7FCA">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C2725" w:rsidRPr="006C2725">
                                <w:rPr>
                                  <w:noProof/>
                                  <w:color w:val="C0504D" w:themeColor="accent2"/>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C2725" w:rsidRPr="006C2725">
                          <w:rPr>
                            <w:noProof/>
                            <w:color w:val="C0504D" w:themeColor="accent2"/>
                          </w:rPr>
                          <w:t>4</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0C1" w:rsidRDefault="002270C1" w:rsidP="00DF7FCA">
      <w:pPr>
        <w:spacing w:after="0" w:line="240" w:lineRule="auto"/>
      </w:pPr>
      <w:r>
        <w:separator/>
      </w:r>
    </w:p>
  </w:footnote>
  <w:footnote w:type="continuationSeparator" w:id="0">
    <w:p w:rsidR="002270C1" w:rsidRDefault="002270C1" w:rsidP="00DF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529"/>
    <w:multiLevelType w:val="hybridMultilevel"/>
    <w:tmpl w:val="1780D3B0"/>
    <w:lvl w:ilvl="0" w:tplc="CDD86806">
      <w:numFmt w:val="bullet"/>
      <w:lvlText w:val=""/>
      <w:lvlJc w:val="left"/>
      <w:pPr>
        <w:ind w:left="36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F0C51"/>
    <w:multiLevelType w:val="hybridMultilevel"/>
    <w:tmpl w:val="1D7ED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3464A"/>
    <w:multiLevelType w:val="hybridMultilevel"/>
    <w:tmpl w:val="6B16C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EB3729"/>
    <w:multiLevelType w:val="hybridMultilevel"/>
    <w:tmpl w:val="809419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41392"/>
    <w:multiLevelType w:val="hybridMultilevel"/>
    <w:tmpl w:val="6BB22C04"/>
    <w:lvl w:ilvl="0" w:tplc="A7A61204">
      <w:start w:val="1"/>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78C4D39"/>
    <w:multiLevelType w:val="hybridMultilevel"/>
    <w:tmpl w:val="A03A710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4C3F4D9F"/>
    <w:multiLevelType w:val="hybridMultilevel"/>
    <w:tmpl w:val="72882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6D0D2A"/>
    <w:multiLevelType w:val="hybridMultilevel"/>
    <w:tmpl w:val="1F94F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043AF0"/>
    <w:multiLevelType w:val="hybridMultilevel"/>
    <w:tmpl w:val="B9D8405C"/>
    <w:lvl w:ilvl="0" w:tplc="1F183AA2">
      <w:start w:val="1"/>
      <w:numFmt w:val="bullet"/>
      <w:lvlText w:val="-"/>
      <w:lvlJc w:val="left"/>
      <w:pPr>
        <w:ind w:left="1080" w:hanging="360"/>
      </w:pPr>
      <w:rPr>
        <w:rFonts w:ascii="Arial" w:eastAsiaTheme="minorHAnsi"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9" w15:restartNumberingAfterBreak="0">
    <w:nsid w:val="5A2A4894"/>
    <w:multiLevelType w:val="hybridMultilevel"/>
    <w:tmpl w:val="A05C7010"/>
    <w:lvl w:ilvl="0" w:tplc="4F8E8E0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A4827A3"/>
    <w:multiLevelType w:val="hybridMultilevel"/>
    <w:tmpl w:val="BB16F1EA"/>
    <w:lvl w:ilvl="0" w:tplc="9D4A9B14">
      <w:start w:val="1"/>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4"/>
  </w:num>
  <w:num w:numId="6">
    <w:abstractNumId w:val="5"/>
  </w:num>
  <w:num w:numId="7">
    <w:abstractNumId w:val="6"/>
  </w:num>
  <w:num w:numId="8">
    <w:abstractNumId w:val="2"/>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F"/>
    <w:rsid w:val="00030660"/>
    <w:rsid w:val="000312C3"/>
    <w:rsid w:val="00037900"/>
    <w:rsid w:val="000414B3"/>
    <w:rsid w:val="00047108"/>
    <w:rsid w:val="00070EE3"/>
    <w:rsid w:val="00077062"/>
    <w:rsid w:val="000772B7"/>
    <w:rsid w:val="000844DD"/>
    <w:rsid w:val="000A0914"/>
    <w:rsid w:val="000A2F0D"/>
    <w:rsid w:val="000B21D3"/>
    <w:rsid w:val="000B46D0"/>
    <w:rsid w:val="000B6E3D"/>
    <w:rsid w:val="000C4545"/>
    <w:rsid w:val="000C70F9"/>
    <w:rsid w:val="000D0AEF"/>
    <w:rsid w:val="000D1580"/>
    <w:rsid w:val="000D1CA9"/>
    <w:rsid w:val="000E5CF7"/>
    <w:rsid w:val="000F20AD"/>
    <w:rsid w:val="000F6F24"/>
    <w:rsid w:val="001115E9"/>
    <w:rsid w:val="001303E5"/>
    <w:rsid w:val="00131DDD"/>
    <w:rsid w:val="00132A76"/>
    <w:rsid w:val="001559D7"/>
    <w:rsid w:val="00170A86"/>
    <w:rsid w:val="00172AB3"/>
    <w:rsid w:val="001778F8"/>
    <w:rsid w:val="001835D8"/>
    <w:rsid w:val="00187EFF"/>
    <w:rsid w:val="001963E2"/>
    <w:rsid w:val="00197965"/>
    <w:rsid w:val="001B4C29"/>
    <w:rsid w:val="001C15DD"/>
    <w:rsid w:val="001C4001"/>
    <w:rsid w:val="001F54B4"/>
    <w:rsid w:val="0020122D"/>
    <w:rsid w:val="00204D13"/>
    <w:rsid w:val="002148D4"/>
    <w:rsid w:val="002270C1"/>
    <w:rsid w:val="00234337"/>
    <w:rsid w:val="00240005"/>
    <w:rsid w:val="00256BD8"/>
    <w:rsid w:val="00264662"/>
    <w:rsid w:val="00272E09"/>
    <w:rsid w:val="00275D3A"/>
    <w:rsid w:val="00291581"/>
    <w:rsid w:val="002A39DC"/>
    <w:rsid w:val="002A5236"/>
    <w:rsid w:val="002A72D8"/>
    <w:rsid w:val="002B0E50"/>
    <w:rsid w:val="002C59C5"/>
    <w:rsid w:val="002E0F71"/>
    <w:rsid w:val="002E4585"/>
    <w:rsid w:val="002F0232"/>
    <w:rsid w:val="002F206B"/>
    <w:rsid w:val="0030153D"/>
    <w:rsid w:val="0033050A"/>
    <w:rsid w:val="003333EC"/>
    <w:rsid w:val="00346DC6"/>
    <w:rsid w:val="00361372"/>
    <w:rsid w:val="003841AF"/>
    <w:rsid w:val="00391409"/>
    <w:rsid w:val="00394BC9"/>
    <w:rsid w:val="003A5EBF"/>
    <w:rsid w:val="003C574A"/>
    <w:rsid w:val="003D1783"/>
    <w:rsid w:val="003D6782"/>
    <w:rsid w:val="003D7483"/>
    <w:rsid w:val="003E116F"/>
    <w:rsid w:val="003E5A0A"/>
    <w:rsid w:val="003F3251"/>
    <w:rsid w:val="003F4BA5"/>
    <w:rsid w:val="00405791"/>
    <w:rsid w:val="0041661C"/>
    <w:rsid w:val="00424578"/>
    <w:rsid w:val="00425241"/>
    <w:rsid w:val="00447088"/>
    <w:rsid w:val="00450783"/>
    <w:rsid w:val="00460DA4"/>
    <w:rsid w:val="0047662C"/>
    <w:rsid w:val="0048221B"/>
    <w:rsid w:val="00496A29"/>
    <w:rsid w:val="004C4391"/>
    <w:rsid w:val="004D395E"/>
    <w:rsid w:val="004D7664"/>
    <w:rsid w:val="004E318B"/>
    <w:rsid w:val="004E47EB"/>
    <w:rsid w:val="004E6BF5"/>
    <w:rsid w:val="004E746A"/>
    <w:rsid w:val="004F4567"/>
    <w:rsid w:val="0050233D"/>
    <w:rsid w:val="00520F98"/>
    <w:rsid w:val="005261CB"/>
    <w:rsid w:val="00535265"/>
    <w:rsid w:val="00541C44"/>
    <w:rsid w:val="005612D6"/>
    <w:rsid w:val="00565908"/>
    <w:rsid w:val="00591469"/>
    <w:rsid w:val="00592E20"/>
    <w:rsid w:val="0059763A"/>
    <w:rsid w:val="005A3A88"/>
    <w:rsid w:val="005A5C3C"/>
    <w:rsid w:val="005B03D9"/>
    <w:rsid w:val="005B512B"/>
    <w:rsid w:val="005C1061"/>
    <w:rsid w:val="005C272E"/>
    <w:rsid w:val="005C3AE4"/>
    <w:rsid w:val="005C74BF"/>
    <w:rsid w:val="005D1D45"/>
    <w:rsid w:val="005E5FB2"/>
    <w:rsid w:val="005F1B3E"/>
    <w:rsid w:val="00600FB0"/>
    <w:rsid w:val="00607C95"/>
    <w:rsid w:val="0061688B"/>
    <w:rsid w:val="00636F1F"/>
    <w:rsid w:val="0065261B"/>
    <w:rsid w:val="00655857"/>
    <w:rsid w:val="00673FC5"/>
    <w:rsid w:val="006819F5"/>
    <w:rsid w:val="00696FD4"/>
    <w:rsid w:val="00697675"/>
    <w:rsid w:val="006A58B5"/>
    <w:rsid w:val="006C2725"/>
    <w:rsid w:val="006C708C"/>
    <w:rsid w:val="006E58A5"/>
    <w:rsid w:val="006F038C"/>
    <w:rsid w:val="0072191D"/>
    <w:rsid w:val="007233CB"/>
    <w:rsid w:val="00731B69"/>
    <w:rsid w:val="00740B1D"/>
    <w:rsid w:val="007414B0"/>
    <w:rsid w:val="00754619"/>
    <w:rsid w:val="00755A0D"/>
    <w:rsid w:val="00783DA3"/>
    <w:rsid w:val="007A18E1"/>
    <w:rsid w:val="007A265B"/>
    <w:rsid w:val="007A578B"/>
    <w:rsid w:val="007C18C1"/>
    <w:rsid w:val="007D1D7C"/>
    <w:rsid w:val="007E0932"/>
    <w:rsid w:val="007E1448"/>
    <w:rsid w:val="007E3BE6"/>
    <w:rsid w:val="007F107F"/>
    <w:rsid w:val="00841E67"/>
    <w:rsid w:val="0085248B"/>
    <w:rsid w:val="00857CD1"/>
    <w:rsid w:val="00860251"/>
    <w:rsid w:val="00870533"/>
    <w:rsid w:val="00874AB5"/>
    <w:rsid w:val="008E0F96"/>
    <w:rsid w:val="008E1117"/>
    <w:rsid w:val="008E2000"/>
    <w:rsid w:val="008E6578"/>
    <w:rsid w:val="008E7FA0"/>
    <w:rsid w:val="008F7295"/>
    <w:rsid w:val="0090009D"/>
    <w:rsid w:val="0090779A"/>
    <w:rsid w:val="00912286"/>
    <w:rsid w:val="009139C7"/>
    <w:rsid w:val="009219E2"/>
    <w:rsid w:val="009224D6"/>
    <w:rsid w:val="0093286B"/>
    <w:rsid w:val="009710D7"/>
    <w:rsid w:val="009879D8"/>
    <w:rsid w:val="009915D5"/>
    <w:rsid w:val="00991749"/>
    <w:rsid w:val="0099192A"/>
    <w:rsid w:val="00995F27"/>
    <w:rsid w:val="009A3751"/>
    <w:rsid w:val="009A6D8E"/>
    <w:rsid w:val="009D08C4"/>
    <w:rsid w:val="009D2254"/>
    <w:rsid w:val="009E5367"/>
    <w:rsid w:val="009E5DCA"/>
    <w:rsid w:val="009E63B8"/>
    <w:rsid w:val="009E755C"/>
    <w:rsid w:val="00A17DC9"/>
    <w:rsid w:val="00A202FC"/>
    <w:rsid w:val="00A22E34"/>
    <w:rsid w:val="00A27AEE"/>
    <w:rsid w:val="00A3039C"/>
    <w:rsid w:val="00A479B6"/>
    <w:rsid w:val="00A51C15"/>
    <w:rsid w:val="00A60AB5"/>
    <w:rsid w:val="00A7401D"/>
    <w:rsid w:val="00A85C44"/>
    <w:rsid w:val="00A86CE2"/>
    <w:rsid w:val="00A96139"/>
    <w:rsid w:val="00A968C5"/>
    <w:rsid w:val="00AB7B9C"/>
    <w:rsid w:val="00AC06EF"/>
    <w:rsid w:val="00AC555D"/>
    <w:rsid w:val="00AF0812"/>
    <w:rsid w:val="00B10F7D"/>
    <w:rsid w:val="00B27E6C"/>
    <w:rsid w:val="00B311FB"/>
    <w:rsid w:val="00B51C72"/>
    <w:rsid w:val="00B544C6"/>
    <w:rsid w:val="00B56E14"/>
    <w:rsid w:val="00B56E26"/>
    <w:rsid w:val="00B57364"/>
    <w:rsid w:val="00B70AF5"/>
    <w:rsid w:val="00B857D4"/>
    <w:rsid w:val="00B9696A"/>
    <w:rsid w:val="00BA15CD"/>
    <w:rsid w:val="00BB191C"/>
    <w:rsid w:val="00BC1C29"/>
    <w:rsid w:val="00BC51EB"/>
    <w:rsid w:val="00BC53CD"/>
    <w:rsid w:val="00BE7B08"/>
    <w:rsid w:val="00C00A81"/>
    <w:rsid w:val="00C02164"/>
    <w:rsid w:val="00C07794"/>
    <w:rsid w:val="00C33837"/>
    <w:rsid w:val="00C66BF3"/>
    <w:rsid w:val="00C702DF"/>
    <w:rsid w:val="00C82757"/>
    <w:rsid w:val="00CB3C40"/>
    <w:rsid w:val="00CB5E70"/>
    <w:rsid w:val="00CD0880"/>
    <w:rsid w:val="00CD1FE7"/>
    <w:rsid w:val="00CF2F96"/>
    <w:rsid w:val="00D0066A"/>
    <w:rsid w:val="00D17E1E"/>
    <w:rsid w:val="00D2117B"/>
    <w:rsid w:val="00D22925"/>
    <w:rsid w:val="00D45936"/>
    <w:rsid w:val="00D56B19"/>
    <w:rsid w:val="00D71BB9"/>
    <w:rsid w:val="00D723B9"/>
    <w:rsid w:val="00D74F0C"/>
    <w:rsid w:val="00D767A8"/>
    <w:rsid w:val="00D86A1C"/>
    <w:rsid w:val="00DA1EEC"/>
    <w:rsid w:val="00DA61BE"/>
    <w:rsid w:val="00DA6F99"/>
    <w:rsid w:val="00DB5651"/>
    <w:rsid w:val="00DC1A71"/>
    <w:rsid w:val="00DD386E"/>
    <w:rsid w:val="00DD4AF7"/>
    <w:rsid w:val="00DD7990"/>
    <w:rsid w:val="00DF11AC"/>
    <w:rsid w:val="00DF1509"/>
    <w:rsid w:val="00DF1733"/>
    <w:rsid w:val="00DF7FCA"/>
    <w:rsid w:val="00E04907"/>
    <w:rsid w:val="00E07FF7"/>
    <w:rsid w:val="00E22188"/>
    <w:rsid w:val="00E33676"/>
    <w:rsid w:val="00E44E73"/>
    <w:rsid w:val="00E529CF"/>
    <w:rsid w:val="00E53144"/>
    <w:rsid w:val="00E53AD4"/>
    <w:rsid w:val="00E54EC0"/>
    <w:rsid w:val="00E64D41"/>
    <w:rsid w:val="00E75A18"/>
    <w:rsid w:val="00E76695"/>
    <w:rsid w:val="00E805AD"/>
    <w:rsid w:val="00EA09C1"/>
    <w:rsid w:val="00EB3B80"/>
    <w:rsid w:val="00EC433C"/>
    <w:rsid w:val="00EC4C9C"/>
    <w:rsid w:val="00ED2DCA"/>
    <w:rsid w:val="00EF2CE5"/>
    <w:rsid w:val="00EF601A"/>
    <w:rsid w:val="00EF635F"/>
    <w:rsid w:val="00F06036"/>
    <w:rsid w:val="00F06302"/>
    <w:rsid w:val="00F068CF"/>
    <w:rsid w:val="00F21CDA"/>
    <w:rsid w:val="00F23560"/>
    <w:rsid w:val="00F30C6A"/>
    <w:rsid w:val="00F43ED1"/>
    <w:rsid w:val="00F618A9"/>
    <w:rsid w:val="00F6690D"/>
    <w:rsid w:val="00F72E00"/>
    <w:rsid w:val="00F75246"/>
    <w:rsid w:val="00F84632"/>
    <w:rsid w:val="00F84DB9"/>
    <w:rsid w:val="00F87FEB"/>
    <w:rsid w:val="00FB5181"/>
    <w:rsid w:val="00FD5077"/>
    <w:rsid w:val="00FE0886"/>
    <w:rsid w:val="00FE224E"/>
    <w:rsid w:val="00FF17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61E7"/>
  <w15:docId w15:val="{E2B96928-B67B-46FA-AB66-26C1253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58B5"/>
    <w:pPr>
      <w:ind w:left="720"/>
      <w:contextualSpacing/>
    </w:pPr>
  </w:style>
  <w:style w:type="paragraph" w:styleId="Bezproreda">
    <w:name w:val="No Spacing"/>
    <w:uiPriority w:val="1"/>
    <w:qFormat/>
    <w:rsid w:val="00874AB5"/>
    <w:pPr>
      <w:spacing w:after="0" w:line="240" w:lineRule="auto"/>
    </w:pPr>
  </w:style>
  <w:style w:type="paragraph" w:styleId="Tekstbalonia">
    <w:name w:val="Balloon Text"/>
    <w:basedOn w:val="Normal"/>
    <w:link w:val="TekstbaloniaChar"/>
    <w:uiPriority w:val="99"/>
    <w:semiHidden/>
    <w:unhideWhenUsed/>
    <w:rsid w:val="00EC43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33C"/>
    <w:rPr>
      <w:rFonts w:ascii="Segoe UI" w:hAnsi="Segoe UI" w:cs="Segoe UI"/>
      <w:sz w:val="18"/>
      <w:szCs w:val="18"/>
    </w:rPr>
  </w:style>
  <w:style w:type="paragraph" w:styleId="Zaglavlje">
    <w:name w:val="header"/>
    <w:basedOn w:val="Normal"/>
    <w:link w:val="ZaglavljeChar"/>
    <w:uiPriority w:val="99"/>
    <w:unhideWhenUsed/>
    <w:rsid w:val="00DF7F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7FCA"/>
  </w:style>
  <w:style w:type="paragraph" w:styleId="Podnoje">
    <w:name w:val="footer"/>
    <w:basedOn w:val="Normal"/>
    <w:link w:val="PodnojeChar"/>
    <w:uiPriority w:val="99"/>
    <w:unhideWhenUsed/>
    <w:rsid w:val="00DF7F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7FCA"/>
  </w:style>
  <w:style w:type="table" w:styleId="Reetkatablice">
    <w:name w:val="Table Grid"/>
    <w:basedOn w:val="Obinatablica"/>
    <w:uiPriority w:val="59"/>
    <w:rsid w:val="0085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39212">
      <w:bodyDiv w:val="1"/>
      <w:marLeft w:val="0"/>
      <w:marRight w:val="0"/>
      <w:marTop w:val="0"/>
      <w:marBottom w:val="0"/>
      <w:divBdr>
        <w:top w:val="none" w:sz="0" w:space="0" w:color="auto"/>
        <w:left w:val="none" w:sz="0" w:space="0" w:color="auto"/>
        <w:bottom w:val="none" w:sz="0" w:space="0" w:color="auto"/>
        <w:right w:val="none" w:sz="0" w:space="0" w:color="auto"/>
      </w:divBdr>
    </w:div>
    <w:div w:id="1696539555">
      <w:bodyDiv w:val="1"/>
      <w:marLeft w:val="0"/>
      <w:marRight w:val="0"/>
      <w:marTop w:val="0"/>
      <w:marBottom w:val="0"/>
      <w:divBdr>
        <w:top w:val="none" w:sz="0" w:space="0" w:color="auto"/>
        <w:left w:val="none" w:sz="0" w:space="0" w:color="auto"/>
        <w:bottom w:val="none" w:sz="0" w:space="0" w:color="auto"/>
        <w:right w:val="none" w:sz="0" w:space="0" w:color="auto"/>
      </w:divBdr>
    </w:div>
    <w:div w:id="18220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7A00-23B3-44C4-8EF7-BD797D0C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9310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Marija</cp:lastModifiedBy>
  <cp:revision>2</cp:revision>
  <cp:lastPrinted>2023-02-03T09:35:00Z</cp:lastPrinted>
  <dcterms:created xsi:type="dcterms:W3CDTF">2023-02-03T09:40:00Z</dcterms:created>
  <dcterms:modified xsi:type="dcterms:W3CDTF">2023-02-03T09:40:00Z</dcterms:modified>
</cp:coreProperties>
</file>