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Krapinske Toplice</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18.02.2022</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20.02.2019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riba i riblji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31.479,65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7.869,92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39.349,57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 (svinjetina, junetina)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Mesnice Borošak d.o.o. 76622318991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28.681,86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4.412,47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33.049,33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krušni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PEKOM d.o.o. 97537222719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53.887,80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6.173,99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60.061,79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21031321242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27.589,00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4.796,25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32.385,25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prehrambeni artikli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52.443,26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12.395,38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64.839,64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JEN 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mesni asortiman (piletina, puretina)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400-02/21-01/15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76.637,20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15.908,00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92.545,20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18.02.2022 08:17</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