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B5" w:rsidRDefault="00874AB5" w:rsidP="00874AB5">
      <w:pPr>
        <w:pStyle w:val="Bezproreda"/>
      </w:pPr>
      <w:r>
        <w:t>Naziv obveznika: OSNO</w:t>
      </w:r>
      <w:r w:rsidR="003841AF">
        <w:t>VNA ŠKOLA KRAPINSKE TOPLICE</w:t>
      </w:r>
      <w:r w:rsidR="003841AF">
        <w:tab/>
      </w:r>
      <w:r w:rsidR="003841AF">
        <w:tab/>
        <w:t>Broj RKP-a: 16019</w:t>
      </w:r>
    </w:p>
    <w:p w:rsidR="00874AB5" w:rsidRDefault="00874AB5" w:rsidP="00874AB5">
      <w:pPr>
        <w:pStyle w:val="Bezproreda"/>
      </w:pPr>
      <w:r>
        <w:t xml:space="preserve">Sjedište obveznika: </w:t>
      </w:r>
      <w:r w:rsidR="003841AF">
        <w:t>49217 KRAPINSKE TOPLICE</w:t>
      </w:r>
      <w:r w:rsidR="003841AF">
        <w:tab/>
      </w:r>
      <w:r w:rsidR="003841AF">
        <w:tab/>
      </w:r>
      <w:r w:rsidR="003841AF">
        <w:tab/>
        <w:t>Matični broj: 3016374</w:t>
      </w:r>
    </w:p>
    <w:p w:rsidR="00874AB5" w:rsidRDefault="00874AB5" w:rsidP="00874AB5">
      <w:pPr>
        <w:pStyle w:val="Bezproreda"/>
      </w:pPr>
      <w:r>
        <w:t>Adresa sjedišta ob</w:t>
      </w:r>
      <w:r w:rsidR="003841AF">
        <w:t>veznika: ZAGREBAČKA 12</w:t>
      </w:r>
      <w:r>
        <w:tab/>
      </w:r>
      <w:r>
        <w:tab/>
      </w:r>
      <w:r w:rsidR="003841AF">
        <w:t xml:space="preserve">              OIB: 46106875125</w:t>
      </w:r>
    </w:p>
    <w:p w:rsidR="00874AB5" w:rsidRDefault="003841AF" w:rsidP="00874AB5">
      <w:pPr>
        <w:pStyle w:val="Bezproreda"/>
      </w:pPr>
      <w:r>
        <w:t>Razina: 31</w:t>
      </w:r>
      <w:r>
        <w:tab/>
      </w:r>
      <w:r>
        <w:tab/>
        <w:t xml:space="preserve">                                                                      </w:t>
      </w:r>
      <w:r w:rsidR="00874AB5">
        <w:t>Šifra djelatnosti: 8520</w:t>
      </w:r>
    </w:p>
    <w:p w:rsidR="00874AB5" w:rsidRDefault="00874AB5">
      <w:r>
        <w:t>Razdjel: 000</w:t>
      </w:r>
    </w:p>
    <w:p w:rsidR="000D1580" w:rsidRDefault="00E529CF" w:rsidP="000D1580">
      <w:pPr>
        <w:jc w:val="center"/>
      </w:pPr>
      <w:r>
        <w:t>BILJEŠKE UZ FINANCIJSKE IZVJEŠTAJE</w:t>
      </w:r>
    </w:p>
    <w:p w:rsidR="008504BF" w:rsidRDefault="00E529CF" w:rsidP="000D1580">
      <w:pPr>
        <w:jc w:val="center"/>
      </w:pPr>
      <w:r>
        <w:t>Z</w:t>
      </w:r>
      <w:r w:rsidR="002A5236">
        <w:t>A RAZDOBLJE OD 01.SIJEČNJA DO 31. PROSINCA</w:t>
      </w:r>
      <w:r w:rsidR="0065261B">
        <w:t xml:space="preserve"> 2021</w:t>
      </w:r>
      <w:r>
        <w:t>. GODINE</w:t>
      </w:r>
    </w:p>
    <w:p w:rsidR="00A51C15" w:rsidRDefault="00A51C15" w:rsidP="000D1580">
      <w:pPr>
        <w:jc w:val="center"/>
      </w:pPr>
    </w:p>
    <w:p w:rsidR="00A51C15" w:rsidRDefault="00A51C15" w:rsidP="00A51C15">
      <w:pPr>
        <w:pStyle w:val="Odlomakpopisa"/>
        <w:numPr>
          <w:ilvl w:val="0"/>
          <w:numId w:val="8"/>
        </w:numPr>
        <w:rPr>
          <w:b/>
          <w:sz w:val="28"/>
          <w:szCs w:val="28"/>
        </w:rPr>
      </w:pPr>
      <w:r w:rsidRPr="00A51C15">
        <w:rPr>
          <w:b/>
          <w:sz w:val="28"/>
          <w:szCs w:val="28"/>
        </w:rPr>
        <w:t>UVOD – SAŽETAK I DJELOKRUG RADA</w:t>
      </w:r>
    </w:p>
    <w:p w:rsidR="00A51C15" w:rsidRDefault="00A51C15" w:rsidP="00A51C15">
      <w:pPr>
        <w:ind w:left="360"/>
      </w:pPr>
      <w:r>
        <w:t>Osnovna škola Krapinske Toplice je osnovnoškolska ustanova sa sjedištem u Krapinskim Toplicama te obuhvaća centralnu školu i dvije područne škole: Gregurovec i Mala Er</w:t>
      </w:r>
      <w:r w:rsidR="0065261B">
        <w:t>penja. Trenutno školu pohađa 325 učenika u 21</w:t>
      </w:r>
      <w:r>
        <w:t xml:space="preserve"> razredna odjela, od toga njih </w:t>
      </w:r>
      <w:r w:rsidR="0065261B">
        <w:t>308</w:t>
      </w:r>
      <w:r w:rsidR="0085248B">
        <w:t xml:space="preserve"> </w:t>
      </w:r>
      <w:r>
        <w:t xml:space="preserve">pohađa 1.-8.razred u centralnoj školi gdje imamo 18 odjela, a </w:t>
      </w:r>
      <w:r w:rsidR="0065261B">
        <w:t>17</w:t>
      </w:r>
      <w:r w:rsidR="0085248B">
        <w:t xml:space="preserve"> učenika pohađa nastavu u područnim školama raspoređeno u 3 kombinirana razredna odjela.</w:t>
      </w:r>
    </w:p>
    <w:p w:rsidR="0085248B" w:rsidRDefault="0085248B" w:rsidP="00A51C15">
      <w:pPr>
        <w:ind w:left="360"/>
      </w:pPr>
      <w:r>
        <w:t xml:space="preserve">U školi je trenutno zaposleno  50 djelatnika: 25 učitelja predmetne nastave, 11 razredne nastave, 3 stručna suradnika i 11 ostalih radnika ( ravnatelj, tajnica, domar, spremačice). </w:t>
      </w:r>
    </w:p>
    <w:p w:rsidR="0085248B" w:rsidRDefault="0085248B" w:rsidP="00A51C15">
      <w:pPr>
        <w:ind w:left="360"/>
      </w:pPr>
      <w:r>
        <w:t xml:space="preserve">Osnovna djelatnost obuhvaća odgoj i obrazovanje djece i mladih. U školi se provodi </w:t>
      </w:r>
      <w:r w:rsidR="000312C3">
        <w:t>redovni program od 1.-8. Razreda  kojim učenik stječe znanja i sposobnosti za nastavak obrazovanja.</w:t>
      </w:r>
    </w:p>
    <w:p w:rsidR="000312C3" w:rsidRPr="00A51C15" w:rsidRDefault="000312C3" w:rsidP="00A51C15">
      <w:pPr>
        <w:ind w:left="360"/>
      </w:pPr>
      <w:r>
        <w:t>Školu zastupa i predstavlja ravnatelj Samson Štibohar, dipl.teolog.</w:t>
      </w:r>
    </w:p>
    <w:p w:rsidR="00E529CF" w:rsidRDefault="00E529CF">
      <w:r>
        <w:t>Osno</w:t>
      </w:r>
      <w:r w:rsidR="003841AF">
        <w:t>vna škola Krapinske Toplice</w:t>
      </w:r>
      <w: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izvješćivanju u proračunskom računovodstvu.</w:t>
      </w:r>
    </w:p>
    <w:p w:rsidR="000312C3" w:rsidRDefault="000312C3">
      <w:r>
        <w:t>Škola nije u sustavu PDV-a.</w:t>
      </w:r>
    </w:p>
    <w:p w:rsidR="00F84632" w:rsidRDefault="00F84632" w:rsidP="003A5EBF">
      <w:pPr>
        <w:pStyle w:val="Bezproreda"/>
      </w:pPr>
    </w:p>
    <w:p w:rsidR="00F84632" w:rsidRDefault="00F84632" w:rsidP="003A5EBF">
      <w:pPr>
        <w:pStyle w:val="Bezproreda"/>
      </w:pPr>
    </w:p>
    <w:p w:rsidR="00DF11AC" w:rsidRPr="003841AF" w:rsidRDefault="00CD1FE7" w:rsidP="003841AF">
      <w:pPr>
        <w:rPr>
          <w:b/>
        </w:rPr>
      </w:pPr>
      <w:r>
        <w:rPr>
          <w:b/>
        </w:rPr>
        <w:t>1.</w:t>
      </w:r>
      <w:r w:rsidR="003841AF">
        <w:rPr>
          <w:b/>
        </w:rPr>
        <w:t>B</w:t>
      </w:r>
      <w:r w:rsidR="00DF11AC" w:rsidRPr="003841AF">
        <w:rPr>
          <w:b/>
        </w:rPr>
        <w:t>ilješke uz Izvještaj o prihodima i rashodima, primicima i izdacima</w:t>
      </w:r>
    </w:p>
    <w:p w:rsidR="00D86A1C" w:rsidRDefault="00D86A1C" w:rsidP="003A5EBF">
      <w:pPr>
        <w:pStyle w:val="Bezproreda"/>
      </w:pPr>
    </w:p>
    <w:p w:rsidR="002A5236" w:rsidRDefault="002A39DC" w:rsidP="003A5EBF">
      <w:pPr>
        <w:pStyle w:val="Bezproreda"/>
      </w:pPr>
      <w:r>
        <w:t>Bilješka broj 1</w:t>
      </w:r>
      <w:r w:rsidR="002A5236" w:rsidRPr="00CD1FE7">
        <w:t>- AOP 058 Tekuće pomoći od izvanproračunskih korisnika – odnose se na pomoći HZZ</w:t>
      </w:r>
      <w:r w:rsidR="002A5236">
        <w:t xml:space="preserve"> za zapošljavanje pripravnika</w:t>
      </w:r>
      <w:r w:rsidR="009224D6">
        <w:t xml:space="preserve">. </w:t>
      </w:r>
    </w:p>
    <w:p w:rsidR="00D86A1C" w:rsidRDefault="00D86A1C" w:rsidP="003A5EBF">
      <w:pPr>
        <w:pStyle w:val="Bezproreda"/>
      </w:pPr>
    </w:p>
    <w:p w:rsidR="0099192A" w:rsidRDefault="00DA6F99" w:rsidP="003A5EBF">
      <w:pPr>
        <w:pStyle w:val="Bezproreda"/>
      </w:pPr>
      <w:r>
        <w:t xml:space="preserve">Bilješka broj </w:t>
      </w:r>
      <w:r w:rsidR="002A39DC">
        <w:t>2</w:t>
      </w:r>
      <w:r w:rsidR="00077062">
        <w:t xml:space="preserve"> – AOP 06</w:t>
      </w:r>
      <w:r w:rsidR="002A5236">
        <w:t>3 P</w:t>
      </w:r>
      <w:r w:rsidR="00077062">
        <w:t xml:space="preserve">omoći proračunskim korisnicima iz proračuna koji </w:t>
      </w:r>
      <w:r w:rsidR="00D45936">
        <w:t>im nije nadležan- (MZO za plaće i naknade plaća)- u ovom razdoblju prihodi su veći zbog povećanja osnovice i obračunskih koeficijenta plaće</w:t>
      </w:r>
      <w:r w:rsidR="002A39DC">
        <w:t xml:space="preserve">, podmirivanje sudskih troškova. </w:t>
      </w:r>
      <w:r w:rsidR="002A5236">
        <w:t xml:space="preserve">Kapitalne pomoći odnose se na nabavu udžbenika. </w:t>
      </w:r>
      <w:r w:rsidR="002A39DC">
        <w:t xml:space="preserve"> Ukupni prihodi od MZO iznose 6.925.702 kn. 50.000 kn iznose prihodi od Općine.</w:t>
      </w:r>
    </w:p>
    <w:p w:rsidR="00D86A1C" w:rsidRDefault="00D86A1C" w:rsidP="003A5EBF">
      <w:pPr>
        <w:pStyle w:val="Bezproreda"/>
      </w:pPr>
    </w:p>
    <w:p w:rsidR="00F72E00" w:rsidRDefault="007C18C1" w:rsidP="003A5EBF">
      <w:pPr>
        <w:pStyle w:val="Bezproreda"/>
      </w:pPr>
      <w:r>
        <w:t xml:space="preserve">Bilješka broj </w:t>
      </w:r>
      <w:r w:rsidR="009224D6">
        <w:t xml:space="preserve">3-AOP 107 Prihodi po posebnim propisima </w:t>
      </w:r>
      <w:r w:rsidR="0093286B">
        <w:t xml:space="preserve"> </w:t>
      </w:r>
      <w:r w:rsidR="009224D6">
        <w:t xml:space="preserve">veći su u odnosu na 2020 godinu jer je bilo manje on line dana nastave i održani su neki izleti što u 2020 nije bilo ( 223.474 kn). Povećani su </w:t>
      </w:r>
      <w:r w:rsidR="009224D6">
        <w:lastRenderedPageBreak/>
        <w:t>prihodi za naknadu štete od osiguranja i učenika za naknadu štete  učinjene na tabletima ( 12.406 kn).</w:t>
      </w:r>
    </w:p>
    <w:p w:rsidR="00D86A1C" w:rsidRDefault="00D86A1C" w:rsidP="003A5EBF">
      <w:pPr>
        <w:pStyle w:val="Bezproreda"/>
      </w:pPr>
    </w:p>
    <w:p w:rsidR="009E5DCA" w:rsidRDefault="009D08C4" w:rsidP="003A5EBF">
      <w:pPr>
        <w:pStyle w:val="Bezproreda"/>
      </w:pPr>
      <w:r>
        <w:t xml:space="preserve">Bilješka broj </w:t>
      </w:r>
      <w:r w:rsidR="009224D6">
        <w:t>4</w:t>
      </w:r>
      <w:r w:rsidR="009E5DCA">
        <w:t xml:space="preserve"> – AOP 12</w:t>
      </w:r>
      <w:r w:rsidR="00F72E00">
        <w:t>0</w:t>
      </w:r>
      <w:r w:rsidR="009E5DCA">
        <w:t xml:space="preserve"> P</w:t>
      </w:r>
      <w:r w:rsidR="0093286B">
        <w:t>rihodi od pruženih usluga – u ovom razdoblju ostvareno je manje prihoda od naj</w:t>
      </w:r>
      <w:r w:rsidR="00F72E00">
        <w:t xml:space="preserve">ma </w:t>
      </w:r>
      <w:r w:rsidR="00394BC9">
        <w:t>kioska i prostora zbog nenaplaćenih</w:t>
      </w:r>
      <w:r w:rsidR="00F72E00">
        <w:t xml:space="preserve"> prihoda.</w:t>
      </w:r>
    </w:p>
    <w:p w:rsidR="00D86A1C" w:rsidRDefault="00D86A1C" w:rsidP="003A5EBF">
      <w:pPr>
        <w:pStyle w:val="Bezproreda"/>
      </w:pPr>
    </w:p>
    <w:p w:rsidR="00E22188" w:rsidRDefault="00F72E00" w:rsidP="003A5EBF">
      <w:pPr>
        <w:pStyle w:val="Bezproreda"/>
      </w:pPr>
      <w:r>
        <w:t>Bilješka broj 5</w:t>
      </w:r>
      <w:r w:rsidR="009E5DCA">
        <w:t xml:space="preserve"> – AOP </w:t>
      </w:r>
      <w:r w:rsidR="005C74BF">
        <w:t>12</w:t>
      </w:r>
      <w:r>
        <w:t>3</w:t>
      </w:r>
      <w:r w:rsidR="005C74BF">
        <w:t xml:space="preserve"> Donacije od pravnih i fizičkih osoba – u tekućem</w:t>
      </w:r>
      <w:r w:rsidR="009D08C4">
        <w:t xml:space="preserve"> izvještajnom razdoblju</w:t>
      </w:r>
      <w:r>
        <w:t xml:space="preserve">  s</w:t>
      </w:r>
      <w:r w:rsidR="0093286B">
        <w:t>u</w:t>
      </w:r>
      <w:r>
        <w:t xml:space="preserve"> povećane, pravne osobe donirale su sredstva i materijal za obnovu škole , opreme i namještaja koji je stradao u potresu 2020 godine. Ukupan iznos donacija iznosi 112.932 kn.</w:t>
      </w:r>
    </w:p>
    <w:p w:rsidR="00D86A1C" w:rsidRDefault="00D86A1C" w:rsidP="003A5EBF">
      <w:pPr>
        <w:pStyle w:val="Bezproreda"/>
      </w:pPr>
    </w:p>
    <w:p w:rsidR="00A7401D" w:rsidRDefault="00F72E00" w:rsidP="003A5EBF">
      <w:pPr>
        <w:pStyle w:val="Bezproreda"/>
      </w:pPr>
      <w:r>
        <w:t>Bilješka broj 6</w:t>
      </w:r>
      <w:r w:rsidR="00E22188">
        <w:t>-AOP 130 Prihodi iz nad</w:t>
      </w:r>
      <w:r>
        <w:t>ležnog proračuna ostvareni su u većem</w:t>
      </w:r>
      <w:r w:rsidR="00F87FEB">
        <w:t xml:space="preserve"> </w:t>
      </w:r>
      <w:r w:rsidR="00E22188">
        <w:t>iznosu nego u pret</w:t>
      </w:r>
      <w:r w:rsidR="00E04907">
        <w:t>ho</w:t>
      </w:r>
      <w:r w:rsidR="00A7401D">
        <w:t>dnom izvještajnom razdoblju,</w:t>
      </w:r>
      <w:r w:rsidR="00E04907">
        <w:t xml:space="preserve"> </w:t>
      </w:r>
      <w:r>
        <w:t xml:space="preserve">Županija je doznačila  veća sredstva  zbog obnove škole. </w:t>
      </w:r>
      <w:r w:rsidR="002A5236">
        <w:t xml:space="preserve"> </w:t>
      </w:r>
    </w:p>
    <w:p w:rsidR="002A5236" w:rsidRDefault="002A5236" w:rsidP="003A5EBF">
      <w:pPr>
        <w:pStyle w:val="Bezproreda"/>
      </w:pPr>
    </w:p>
    <w:p w:rsidR="002A5236" w:rsidRDefault="002A5236" w:rsidP="003A5EBF">
      <w:pPr>
        <w:pStyle w:val="Bezproreda"/>
      </w:pPr>
      <w:r w:rsidRPr="00E805AD">
        <w:t>BILJEŠKA ZA NADLEŽNI PRORAČUN ( KRAPINSKO-ZAGORSKA ŽUPANIJA)</w:t>
      </w:r>
    </w:p>
    <w:p w:rsidR="00F72E00" w:rsidRPr="00E805AD" w:rsidRDefault="00F72E00" w:rsidP="003A5EBF">
      <w:pPr>
        <w:pStyle w:val="Bezproreda"/>
      </w:pPr>
    </w:p>
    <w:tbl>
      <w:tblPr>
        <w:tblW w:w="1056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8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72E00" w:rsidTr="009139C7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72E00" w:rsidRDefault="00F7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72E00" w:rsidRDefault="00F7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72E00" w:rsidRDefault="00F7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72E00" w:rsidRDefault="00F7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72E00" w:rsidRDefault="00F7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72E00" w:rsidRDefault="00F7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72E00" w:rsidRDefault="00F7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72E00" w:rsidRDefault="00F7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72E00" w:rsidRDefault="00F7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 Light" w:hAnsi="Segoe UI Light" w:cs="Segoe UI Light"/>
                <w:color w:val="000000"/>
              </w:rPr>
            </w:pPr>
          </w:p>
        </w:tc>
      </w:tr>
    </w:tbl>
    <w:p w:rsidR="002A5236" w:rsidRDefault="002A5236" w:rsidP="003A5EBF">
      <w:pPr>
        <w:pStyle w:val="Bezproreda"/>
        <w:rPr>
          <w:b/>
        </w:rPr>
      </w:pPr>
    </w:p>
    <w:p w:rsidR="009139C7" w:rsidRDefault="009139C7" w:rsidP="009139C7">
      <w:pPr>
        <w:pStyle w:val="Bezproreda"/>
        <w:numPr>
          <w:ilvl w:val="0"/>
          <w:numId w:val="9"/>
        </w:numPr>
      </w:pPr>
      <w:r>
        <w:t>Decentralizacija= 344.584,00</w:t>
      </w:r>
    </w:p>
    <w:p w:rsidR="009139C7" w:rsidRDefault="009139C7" w:rsidP="009139C7">
      <w:pPr>
        <w:pStyle w:val="Bezproreda"/>
        <w:numPr>
          <w:ilvl w:val="0"/>
          <w:numId w:val="9"/>
        </w:numPr>
      </w:pPr>
      <w:r>
        <w:t>Školska shema= 15.950,47</w:t>
      </w:r>
    </w:p>
    <w:p w:rsidR="009139C7" w:rsidRDefault="009139C7" w:rsidP="009139C7">
      <w:pPr>
        <w:pStyle w:val="Bezproreda"/>
        <w:numPr>
          <w:ilvl w:val="0"/>
          <w:numId w:val="9"/>
        </w:numPr>
      </w:pPr>
      <w:r>
        <w:t>Zalogajček= 38.744,01</w:t>
      </w:r>
    </w:p>
    <w:p w:rsidR="009139C7" w:rsidRDefault="009139C7" w:rsidP="009139C7">
      <w:pPr>
        <w:pStyle w:val="Bezproreda"/>
        <w:numPr>
          <w:ilvl w:val="0"/>
          <w:numId w:val="9"/>
        </w:numPr>
      </w:pPr>
      <w:r>
        <w:t>Troškovi natjecanja = 2.092,00</w:t>
      </w:r>
    </w:p>
    <w:p w:rsidR="009139C7" w:rsidRDefault="009139C7" w:rsidP="009139C7">
      <w:pPr>
        <w:pStyle w:val="Bezproreda"/>
        <w:numPr>
          <w:ilvl w:val="0"/>
          <w:numId w:val="9"/>
        </w:numPr>
      </w:pPr>
      <w:r>
        <w:t>E tehničar =6.480,00</w:t>
      </w:r>
    </w:p>
    <w:p w:rsidR="009139C7" w:rsidRDefault="009139C7" w:rsidP="009139C7">
      <w:pPr>
        <w:pStyle w:val="Bezproreda"/>
        <w:numPr>
          <w:ilvl w:val="0"/>
          <w:numId w:val="9"/>
        </w:numPr>
      </w:pPr>
      <w:r>
        <w:t>Građanski odgoj = 1.680,00</w:t>
      </w:r>
    </w:p>
    <w:p w:rsidR="009139C7" w:rsidRDefault="009139C7" w:rsidP="009139C7">
      <w:pPr>
        <w:pStyle w:val="Bezproreda"/>
        <w:numPr>
          <w:ilvl w:val="0"/>
          <w:numId w:val="9"/>
        </w:numPr>
      </w:pPr>
      <w:r>
        <w:t>Dječji proračun = 11.125,00</w:t>
      </w:r>
    </w:p>
    <w:p w:rsidR="009139C7" w:rsidRDefault="009139C7" w:rsidP="009139C7">
      <w:pPr>
        <w:pStyle w:val="Bezproreda"/>
        <w:numPr>
          <w:ilvl w:val="0"/>
          <w:numId w:val="9"/>
        </w:numPr>
      </w:pPr>
      <w:r>
        <w:t>Ostalo ( obnova nakon potresa, zaštitari) = 589.387,50</w:t>
      </w:r>
    </w:p>
    <w:p w:rsidR="00DA1EEC" w:rsidRDefault="00DA1EEC" w:rsidP="003A5EBF">
      <w:pPr>
        <w:pStyle w:val="Bezproreda"/>
      </w:pPr>
    </w:p>
    <w:p w:rsidR="00DA1EEC" w:rsidRPr="00D86A1C" w:rsidRDefault="00DA1EEC" w:rsidP="003A5EBF">
      <w:pPr>
        <w:pStyle w:val="Bezproreda"/>
      </w:pPr>
    </w:p>
    <w:p w:rsidR="002A5236" w:rsidRPr="00D86A1C" w:rsidRDefault="009139C7" w:rsidP="003A5EBF">
      <w:pPr>
        <w:pStyle w:val="Bezproreda"/>
      </w:pPr>
      <w:r>
        <w:t xml:space="preserve">                 </w:t>
      </w:r>
    </w:p>
    <w:p w:rsidR="002A5236" w:rsidRDefault="002A5236" w:rsidP="003A5EBF">
      <w:pPr>
        <w:pStyle w:val="Bezproreda"/>
      </w:pPr>
    </w:p>
    <w:p w:rsidR="00E22188" w:rsidRDefault="000B6E3D" w:rsidP="003A5EBF">
      <w:pPr>
        <w:pStyle w:val="Bezproreda"/>
      </w:pPr>
      <w:r>
        <w:t xml:space="preserve">Bilješka broj </w:t>
      </w:r>
      <w:r w:rsidR="009139C7">
        <w:t>7</w:t>
      </w:r>
      <w:r w:rsidR="009E63B8">
        <w:t xml:space="preserve"> – AOP 1</w:t>
      </w:r>
      <w:r w:rsidR="009139C7">
        <w:t>47</w:t>
      </w:r>
      <w:r w:rsidR="009E63B8">
        <w:t xml:space="preserve"> </w:t>
      </w:r>
      <w:r w:rsidR="00037900">
        <w:t>Rashodi</w:t>
      </w:r>
      <w:r w:rsidR="009E63B8">
        <w:t xml:space="preserve"> za zaposlene – povećan</w:t>
      </w:r>
      <w:r w:rsidR="00037900">
        <w:t>i</w:t>
      </w:r>
      <w:r w:rsidR="009E63B8">
        <w:t xml:space="preserve"> u odnosu na prethodno razdoblje zbog  </w:t>
      </w:r>
      <w:r w:rsidR="00E22188">
        <w:t>poveća</w:t>
      </w:r>
      <w:r w:rsidR="003F4BA5">
        <w:t>nja osnovice za obračun plaće</w:t>
      </w:r>
      <w:r w:rsidR="00F618A9">
        <w:t>, zapošljavanja zamjena za bolovanja</w:t>
      </w:r>
      <w:r w:rsidR="003F4BA5">
        <w:t>, većih koefici</w:t>
      </w:r>
      <w:r w:rsidR="00D86A1C">
        <w:t>jenata  i naknada</w:t>
      </w:r>
    </w:p>
    <w:p w:rsidR="009139C7" w:rsidRDefault="009139C7" w:rsidP="003A5EBF">
      <w:pPr>
        <w:pStyle w:val="Bezproreda"/>
      </w:pPr>
    </w:p>
    <w:p w:rsidR="005C3AE4" w:rsidRDefault="000B6E3D" w:rsidP="003A5EBF">
      <w:pPr>
        <w:pStyle w:val="Bezproreda"/>
      </w:pPr>
      <w:r>
        <w:t xml:space="preserve">Bilješka broj </w:t>
      </w:r>
      <w:r w:rsidR="009139C7">
        <w:t>8</w:t>
      </w:r>
      <w:r w:rsidR="009E63B8">
        <w:t xml:space="preserve"> – AOP </w:t>
      </w:r>
      <w:r w:rsidR="009139C7">
        <w:t>158</w:t>
      </w:r>
      <w:r w:rsidR="00037900">
        <w:t xml:space="preserve"> Materijalni rashodi – </w:t>
      </w:r>
      <w:r w:rsidR="00D74F0C">
        <w:t xml:space="preserve"> </w:t>
      </w:r>
      <w:r w:rsidR="009139C7">
        <w:t xml:space="preserve">povećani </w:t>
      </w:r>
      <w:r w:rsidR="003F4BA5">
        <w:t xml:space="preserve"> su</w:t>
      </w:r>
      <w:r w:rsidR="00E22188">
        <w:t xml:space="preserve"> </w:t>
      </w:r>
      <w:r w:rsidR="00037900">
        <w:t>u odnosu na preth</w:t>
      </w:r>
      <w:r w:rsidR="009139C7">
        <w:t>odno izvještajno razdoblju – povećani troškovi prijevoza ( manje dana rada od kuće). Povećani su troškovi za kupovinu materijala za investicijsko održavanje, materijala za higijenske potrebe, zbog sanacije škole i epidemioloških mjera.</w:t>
      </w:r>
    </w:p>
    <w:p w:rsidR="009139C7" w:rsidRDefault="009139C7" w:rsidP="003A5EBF">
      <w:pPr>
        <w:pStyle w:val="Bezproreda"/>
      </w:pPr>
      <w:r>
        <w:t>Troškovi prijevoza su smanjeni jer škola više ne evidentira</w:t>
      </w:r>
      <w:r w:rsidR="00D0066A">
        <w:t xml:space="preserve"> </w:t>
      </w:r>
      <w:r>
        <w:t xml:space="preserve"> troškove prijevoza učenika, već se oni evidentiraju u županiji. </w:t>
      </w:r>
    </w:p>
    <w:p w:rsidR="000414B3" w:rsidRDefault="009139C7" w:rsidP="003A5EBF">
      <w:pPr>
        <w:pStyle w:val="Bezproreda"/>
      </w:pPr>
      <w:r>
        <w:t xml:space="preserve">Povećani su troškovi za usluge tekućeg i investicijskog održavanja </w:t>
      </w:r>
      <w:r w:rsidR="00394BC9">
        <w:t xml:space="preserve"> </w:t>
      </w:r>
      <w:r>
        <w:t xml:space="preserve">zbog sanacije škole nakon potresa. </w:t>
      </w:r>
      <w:r w:rsidR="000414B3">
        <w:t xml:space="preserve"> Usluge promidžbe i informiranja veći su zbog troškova objave natječaja u Narodnim novinama.</w:t>
      </w:r>
    </w:p>
    <w:p w:rsidR="00D86A1C" w:rsidRDefault="000414B3" w:rsidP="003A5EBF">
      <w:pPr>
        <w:pStyle w:val="Bezproreda"/>
      </w:pPr>
      <w:r>
        <w:t>Intelektualne i osobne usluge veće su u odnosu na prošlu godinu zbog više sklopljenih ugovora o djelu : e tehničar, građanski odgoj, krizni tim za psihološku pomoć.</w:t>
      </w:r>
    </w:p>
    <w:p w:rsidR="000414B3" w:rsidRDefault="000414B3" w:rsidP="003A5EBF">
      <w:pPr>
        <w:pStyle w:val="Bezproreda"/>
      </w:pPr>
      <w:r>
        <w:t>Ostale usluge veće su u odnosu na prošlu godinu zbog održavanja izleta, uređenja prostora, film i izrada fotografija, obnove postavljanja kamera u prostoru škole.</w:t>
      </w:r>
    </w:p>
    <w:p w:rsidR="000414B3" w:rsidRDefault="000414B3" w:rsidP="003A5EBF">
      <w:pPr>
        <w:pStyle w:val="Bezproreda"/>
      </w:pPr>
      <w:r>
        <w:t xml:space="preserve">Ostali nespomenuti rashodi poslovanja </w:t>
      </w:r>
      <w:r w:rsidR="00D0066A">
        <w:t>znatno su veći u odno</w:t>
      </w:r>
      <w:r w:rsidR="00394BC9">
        <w:t xml:space="preserve">su na godinu prije zbog </w:t>
      </w:r>
      <w:r w:rsidR="00D0066A">
        <w:t xml:space="preserve"> troškova sudskih postupaka ( Osnovica 6 %), troškova unajmljivanja  zaštitara, osiguranja učenika, kupnje stabala u zamjenu za srušene platane.</w:t>
      </w:r>
    </w:p>
    <w:p w:rsidR="00D0066A" w:rsidRDefault="00D0066A" w:rsidP="003A5EBF">
      <w:pPr>
        <w:pStyle w:val="Bezproreda"/>
      </w:pPr>
    </w:p>
    <w:p w:rsidR="00DA61BE" w:rsidRDefault="00FB5181" w:rsidP="008E7FA0">
      <w:pPr>
        <w:pStyle w:val="Bezproreda"/>
      </w:pPr>
      <w:r>
        <w:t xml:space="preserve">Bilješka broj </w:t>
      </w:r>
      <w:r w:rsidR="009139C7">
        <w:t>9</w:t>
      </w:r>
      <w:r w:rsidR="003F3251">
        <w:t xml:space="preserve"> –</w:t>
      </w:r>
      <w:r w:rsidR="00D0066A">
        <w:t xml:space="preserve"> AOP 205</w:t>
      </w:r>
      <w:r w:rsidR="00E44E73">
        <w:t>-</w:t>
      </w:r>
      <w:r w:rsidR="003F3251">
        <w:t xml:space="preserve"> Financijski rashodi </w:t>
      </w:r>
      <w:r w:rsidR="00D0066A">
        <w:t xml:space="preserve">- bankarske usluge povećane </w:t>
      </w:r>
      <w:r w:rsidR="00DA61BE">
        <w:t>u odnosu na prethodno izvješt</w:t>
      </w:r>
      <w:r w:rsidR="00D0066A">
        <w:t>ajno razdoblje zbog povećanja cijena bankarskih usluga i obnove certifikata za banku i Finu.</w:t>
      </w:r>
    </w:p>
    <w:p w:rsidR="00D0066A" w:rsidRDefault="00D0066A" w:rsidP="008E7FA0">
      <w:pPr>
        <w:pStyle w:val="Bezproreda"/>
      </w:pPr>
      <w:r>
        <w:lastRenderedPageBreak/>
        <w:t>Zatezne kamate odnose se na kamate za troškove po sudskim sporovima koji su postali pravomoćni u 2021 godini.</w:t>
      </w:r>
    </w:p>
    <w:p w:rsidR="00D86A1C" w:rsidRDefault="00D86A1C" w:rsidP="008E7FA0">
      <w:pPr>
        <w:pStyle w:val="Bezproreda"/>
      </w:pPr>
    </w:p>
    <w:p w:rsidR="00AC555D" w:rsidRDefault="00AC06EF" w:rsidP="003A5EBF">
      <w:pPr>
        <w:pStyle w:val="Bezproreda"/>
      </w:pPr>
      <w:r>
        <w:t xml:space="preserve">Bilješka broj </w:t>
      </w:r>
      <w:r w:rsidR="00D0066A">
        <w:t xml:space="preserve">10 – AOP 247 Naknade građanima i kućanstvima </w:t>
      </w:r>
      <w:r>
        <w:t xml:space="preserve"> – </w:t>
      </w:r>
      <w:r w:rsidR="00D0066A">
        <w:t xml:space="preserve"> odnose se na nabavu radnih udžbenika za učenike.</w:t>
      </w:r>
    </w:p>
    <w:p w:rsidR="00D0066A" w:rsidRDefault="00D0066A" w:rsidP="003A5EBF">
      <w:pPr>
        <w:pStyle w:val="Bezproreda"/>
      </w:pPr>
    </w:p>
    <w:p w:rsidR="00D0066A" w:rsidRDefault="00D0066A" w:rsidP="003A5EBF">
      <w:pPr>
        <w:pStyle w:val="Bezproreda"/>
      </w:pPr>
      <w:r>
        <w:t xml:space="preserve">Bilješka broj 11- AOP 344 Rashodi za nabavu nefinancijske imovine-  nabavljena je ograda na ulazu u zgradu </w:t>
      </w:r>
      <w:r w:rsidR="009E5367">
        <w:t>u iznosu 18.662,50 kn, natkriveno autobusno stajalište za učenike 19.375,00 kn. Nabavljena su računala i računalna oprema u iznosu 16.652,98 kn, namještaj ( kupljen i doniran) 116.255,75 kn, doniran je jedan mobitel  2.400,00kn, kupljena oprema za održavanje prostorija ( usisivač) 2.350,00 kn.  Knjige za knjižnicu ( donirano i kupljeno) u iznosu 4.900,01 kn, te udžbenici  34.313,07 kn.</w:t>
      </w:r>
    </w:p>
    <w:p w:rsidR="00D86A1C" w:rsidRDefault="00D86A1C" w:rsidP="003A5EBF">
      <w:pPr>
        <w:pStyle w:val="Bezproreda"/>
      </w:pPr>
    </w:p>
    <w:p w:rsidR="00D86A1C" w:rsidRDefault="00D0066A" w:rsidP="00860251">
      <w:pPr>
        <w:pStyle w:val="Bezproreda"/>
      </w:pPr>
      <w:r>
        <w:t>Bilješka broj 1</w:t>
      </w:r>
      <w:r w:rsidR="009E5367">
        <w:t>2 – AOP 410</w:t>
      </w:r>
      <w:r w:rsidR="00600FB0">
        <w:t xml:space="preserve"> </w:t>
      </w:r>
      <w:r w:rsidR="00EF601A">
        <w:t>- Višak prihoda i primitaka</w:t>
      </w:r>
      <w:r w:rsidR="00600FB0">
        <w:t xml:space="preserve"> </w:t>
      </w:r>
      <w:r w:rsidR="00E53144">
        <w:t xml:space="preserve">– preneseni </w:t>
      </w:r>
      <w:r w:rsidR="00A27AEE">
        <w:t>u prethodnom izvješ</w:t>
      </w:r>
      <w:r w:rsidR="006E58A5">
        <w:t xml:space="preserve">tajnom razdoblju </w:t>
      </w:r>
      <w:r w:rsidR="00600FB0">
        <w:t>iznosi</w:t>
      </w:r>
      <w:r w:rsidR="00AC555D">
        <w:t xml:space="preserve"> </w:t>
      </w:r>
      <w:r w:rsidR="006E58A5">
        <w:t xml:space="preserve"> </w:t>
      </w:r>
      <w:r w:rsidR="009E5367">
        <w:t xml:space="preserve"> 163.126 kn</w:t>
      </w:r>
    </w:p>
    <w:p w:rsidR="009E5367" w:rsidRDefault="009E5367" w:rsidP="00860251">
      <w:pPr>
        <w:pStyle w:val="Bezproreda"/>
      </w:pPr>
    </w:p>
    <w:p w:rsidR="009E5367" w:rsidRDefault="009E5367" w:rsidP="00860251">
      <w:pPr>
        <w:pStyle w:val="Bezproreda"/>
      </w:pPr>
      <w:r>
        <w:t>Bilješka broj 13- AOP 412- Obračunati prihodi- nenaplaćeni – odnose se na potraživanja od MZO (</w:t>
      </w:r>
      <w:r w:rsidR="000B21D3">
        <w:t xml:space="preserve"> troškovi  pravomoćnih sudskih presuda i testiranja</w:t>
      </w:r>
      <w:r>
        <w:t xml:space="preserve"> </w:t>
      </w:r>
      <w:r w:rsidR="000B21D3">
        <w:t>) 7.814,42kn, potraživanje za Školsku shemu  2.276,75 kn, uplate za prehranu  učenika 24.19,70 kn i pruženih usluga najma prostora 3.250,00kn.</w:t>
      </w:r>
    </w:p>
    <w:p w:rsidR="00AC555D" w:rsidRDefault="00AC555D" w:rsidP="00860251">
      <w:pPr>
        <w:pStyle w:val="Bezproreda"/>
      </w:pPr>
    </w:p>
    <w:p w:rsidR="00E53144" w:rsidRDefault="000B21D3" w:rsidP="00860251">
      <w:pPr>
        <w:pStyle w:val="Bezproreda"/>
      </w:pPr>
      <w:r>
        <w:t xml:space="preserve"> Bilješka broj 14 –AOP 638</w:t>
      </w:r>
      <w:r w:rsidR="00A27AEE">
        <w:t xml:space="preserve"> Višak prihoda i primitaka raspoloživ u sljedećem razdoblju </w:t>
      </w:r>
      <w:r w:rsidR="00AC555D">
        <w:t>– u ovom razdoblju</w:t>
      </w:r>
      <w:r>
        <w:t xml:space="preserve"> ostvaren je manjak u iznosu 101.853</w:t>
      </w:r>
      <w:r w:rsidR="00AC555D">
        <w:t xml:space="preserve"> kn a nakon pribrajan</w:t>
      </w:r>
      <w:r>
        <w:t>ja viška iz prethodne godine 164.126</w:t>
      </w:r>
      <w:r w:rsidR="00AC555D">
        <w:t xml:space="preserve"> kn ukupni višak raspoloživ</w:t>
      </w:r>
      <w:r w:rsidR="00D86A1C">
        <w:t xml:space="preserve"> u </w:t>
      </w:r>
      <w:r>
        <w:t>sljedećem razdoblju iznosi   62.273</w:t>
      </w:r>
      <w:r w:rsidR="00AC555D">
        <w:t xml:space="preserve"> kn.</w:t>
      </w:r>
    </w:p>
    <w:p w:rsidR="00D86A1C" w:rsidRDefault="00D86A1C" w:rsidP="00860251">
      <w:pPr>
        <w:pStyle w:val="Bezproreda"/>
      </w:pPr>
    </w:p>
    <w:p w:rsidR="0048221B" w:rsidRDefault="00AC555D" w:rsidP="00600FB0">
      <w:pPr>
        <w:pStyle w:val="Bezproreda"/>
      </w:pPr>
      <w:r>
        <w:t>Stanje novčanih sredstava na kraju izvještajno</w:t>
      </w:r>
      <w:r w:rsidR="000B21D3">
        <w:t>g razdoblja (AOP 644) iznosi 103.067</w:t>
      </w:r>
      <w:r>
        <w:t xml:space="preserve"> kn i odgovara st</w:t>
      </w:r>
      <w:r w:rsidR="00D86A1C">
        <w:t>anju na izvoda i blagajne na</w:t>
      </w:r>
      <w:r>
        <w:t xml:space="preserve"> dan</w:t>
      </w:r>
      <w:r w:rsidR="000B21D3">
        <w:t xml:space="preserve"> 31.12.2021</w:t>
      </w:r>
      <w:r>
        <w:t>.</w:t>
      </w:r>
    </w:p>
    <w:p w:rsidR="00E805AD" w:rsidRDefault="00E805AD" w:rsidP="00600FB0">
      <w:pPr>
        <w:pStyle w:val="Bezproreda"/>
      </w:pPr>
    </w:p>
    <w:p w:rsidR="00E805AD" w:rsidRDefault="00E805AD" w:rsidP="00600FB0">
      <w:pPr>
        <w:pStyle w:val="Bezproreda"/>
      </w:pPr>
    </w:p>
    <w:p w:rsidR="00E805AD" w:rsidRPr="0030153D" w:rsidRDefault="00CD1FE7" w:rsidP="00600FB0">
      <w:pPr>
        <w:pStyle w:val="Bezproreda"/>
        <w:rPr>
          <w:b/>
        </w:rPr>
      </w:pPr>
      <w:r>
        <w:rPr>
          <w:b/>
        </w:rPr>
        <w:t>2.</w:t>
      </w:r>
      <w:r w:rsidR="00E805AD" w:rsidRPr="0030153D">
        <w:rPr>
          <w:b/>
        </w:rPr>
        <w:t>Bilješke uz Bilancu</w:t>
      </w:r>
    </w:p>
    <w:p w:rsidR="00E805AD" w:rsidRDefault="00E805AD" w:rsidP="00600FB0">
      <w:pPr>
        <w:pStyle w:val="Bezproreda"/>
      </w:pPr>
    </w:p>
    <w:p w:rsidR="00496A29" w:rsidRDefault="00496A29" w:rsidP="00600FB0">
      <w:pPr>
        <w:pStyle w:val="Bezproreda"/>
      </w:pPr>
      <w:r>
        <w:t>Bilješka broj 1</w:t>
      </w:r>
      <w:r w:rsidR="001C4001">
        <w:t xml:space="preserve"> AOP 002</w:t>
      </w:r>
      <w:r>
        <w:t xml:space="preserve">- sanirana je zgrada u Krapinskim Toplicama 2.571.603 kn, </w:t>
      </w:r>
      <w:r w:rsidR="00C33837">
        <w:t xml:space="preserve">nabavljena ograda i </w:t>
      </w:r>
      <w:r w:rsidR="00D22925">
        <w:t>n</w:t>
      </w:r>
      <w:r w:rsidR="00C33837">
        <w:t>atkriveno autobusno stajalište 38.037</w:t>
      </w:r>
      <w:r>
        <w:t xml:space="preserve">nabavljen oprema i namještaj </w:t>
      </w:r>
      <w:r w:rsidR="00C33837">
        <w:t xml:space="preserve"> 137.729, knjige 39.213 kn. </w:t>
      </w:r>
    </w:p>
    <w:p w:rsidR="00C33837" w:rsidRDefault="00C33837" w:rsidP="00600FB0">
      <w:pPr>
        <w:pStyle w:val="Bezproreda"/>
      </w:pPr>
      <w:r>
        <w:t>Oprema nastradala u potresu 2020</w:t>
      </w:r>
      <w:r w:rsidR="00204D13">
        <w:t xml:space="preserve">, koja se </w:t>
      </w:r>
      <w:r w:rsidR="006C2725">
        <w:t xml:space="preserve">nije </w:t>
      </w:r>
      <w:r w:rsidR="00204D13">
        <w:t xml:space="preserve">mogla </w:t>
      </w:r>
      <w:r w:rsidR="006C2725">
        <w:t>p</w:t>
      </w:r>
      <w:bookmarkStart w:id="0" w:name="_GoBack"/>
      <w:bookmarkEnd w:id="0"/>
      <w:r w:rsidR="00204D13">
        <w:t>opraviti</w:t>
      </w:r>
      <w:r>
        <w:t xml:space="preserve"> popisana je , odvezena na otpad te isknjižena.</w:t>
      </w:r>
      <w:r w:rsidR="00636F1F">
        <w:t xml:space="preserve"> </w:t>
      </w:r>
      <w:r w:rsidR="00234337">
        <w:t>U bilanci 31.12.2020. ( 1.1.2021.) u pogrešnom redu na kontu 0213 su upisani Ostali građevinski objekti, sa 31.12.2021. upisani su na konto 0214.</w:t>
      </w:r>
    </w:p>
    <w:p w:rsidR="00FF1710" w:rsidRDefault="00FF1710" w:rsidP="00600FB0">
      <w:pPr>
        <w:pStyle w:val="Bezproreda"/>
      </w:pPr>
      <w:r>
        <w:t xml:space="preserve">Nabavljen je sitni inventar u iznosu 35.339 kn. Prema nalogu ravnatelja  komisijski je utvrđena vrijednost sitnog inventara koji je bio evidentiran bez vrijednosti </w:t>
      </w:r>
      <w:r w:rsidR="00636F1F">
        <w:t xml:space="preserve">, te je ista povećana za 158.917kn. </w:t>
      </w:r>
    </w:p>
    <w:p w:rsidR="00C33837" w:rsidRDefault="00C33837" w:rsidP="00600FB0">
      <w:pPr>
        <w:pStyle w:val="Bezproreda"/>
      </w:pPr>
    </w:p>
    <w:p w:rsidR="00A86CE2" w:rsidRDefault="00A86CE2" w:rsidP="00600FB0">
      <w:pPr>
        <w:pStyle w:val="Bezproreda"/>
      </w:pPr>
      <w:r>
        <w:t>Bilješka broj 2- smanjen je iznos stanja novčanih sredstava u odnosu na 01.siječnja jer</w:t>
      </w:r>
      <w:r w:rsidR="001C4001">
        <w:t xml:space="preserve"> su utrošena sredstva viška 2020</w:t>
      </w:r>
      <w:r>
        <w:t>.godine. ( AOP 064)</w:t>
      </w:r>
      <w:r w:rsidR="001C4001">
        <w:t xml:space="preserve"> Ostala potraživanja povećana su u odnosu na 01.siječnja zbog bolovanja preko 42 dana.</w:t>
      </w:r>
    </w:p>
    <w:p w:rsidR="00A86CE2" w:rsidRDefault="00A86CE2" w:rsidP="00600FB0">
      <w:pPr>
        <w:pStyle w:val="Bezproreda"/>
      </w:pPr>
    </w:p>
    <w:p w:rsidR="00A86CE2" w:rsidRDefault="001C4001" w:rsidP="00600FB0">
      <w:pPr>
        <w:pStyle w:val="Bezproreda"/>
      </w:pPr>
      <w:r>
        <w:t>Bilješka broj 3- povećan</w:t>
      </w:r>
      <w:r w:rsidR="00A86CE2">
        <w:t>a su potraživanja u odnosu</w:t>
      </w:r>
      <w:r>
        <w:t xml:space="preserve"> na 01.siječnja zbog potraživanja od MZO ( pravomoćne sudske presude, testiranja)</w:t>
      </w:r>
      <w:r w:rsidR="00697675">
        <w:t>,</w:t>
      </w:r>
      <w:r>
        <w:t xml:space="preserve">potraživanja za najam, </w:t>
      </w:r>
      <w:r w:rsidR="00697675">
        <w:t xml:space="preserve"> a ispravak se odnosi na </w:t>
      </w:r>
      <w:r w:rsidR="00A86CE2">
        <w:t>potraživanja za školsku kuhinju  ( AOP 141)</w:t>
      </w:r>
    </w:p>
    <w:p w:rsidR="00A86CE2" w:rsidRDefault="00A86CE2" w:rsidP="00600FB0">
      <w:pPr>
        <w:pStyle w:val="Bezproreda"/>
      </w:pPr>
    </w:p>
    <w:p w:rsidR="0030153D" w:rsidRDefault="0030153D" w:rsidP="00600FB0">
      <w:pPr>
        <w:pStyle w:val="Bezproreda"/>
      </w:pPr>
      <w:r>
        <w:t>Bilješka broj</w:t>
      </w:r>
      <w:r w:rsidR="00A86CE2">
        <w:t xml:space="preserve"> 2- </w:t>
      </w:r>
      <w:r>
        <w:t xml:space="preserve"> Ukupne nepo</w:t>
      </w:r>
      <w:r w:rsidR="001C4001">
        <w:t>dmirene obveze na dan 31.12.2021</w:t>
      </w:r>
      <w:r>
        <w:t xml:space="preserve">. iznose </w:t>
      </w:r>
      <w:r w:rsidR="001C4001">
        <w:t xml:space="preserve">659.702 od čega se 565.721 odnosi na plaće, </w:t>
      </w:r>
      <w:r w:rsidR="003C574A">
        <w:t>68</w:t>
      </w:r>
      <w:r w:rsidR="001C4001">
        <w:t>.825 na materijalne rashode, 2.005 financijske i ostale obveze 23.251</w:t>
      </w:r>
      <w:r>
        <w:t>. Sve o</w:t>
      </w:r>
      <w:r w:rsidR="001C4001">
        <w:t>bveze podmirene su početkom 2022</w:t>
      </w:r>
      <w:r>
        <w:t xml:space="preserve"> godine.</w:t>
      </w:r>
      <w:r w:rsidR="001C4001">
        <w:t xml:space="preserve"> ( AOP 170</w:t>
      </w:r>
      <w:r w:rsidR="00A86CE2">
        <w:t>)</w:t>
      </w:r>
    </w:p>
    <w:p w:rsidR="001963E2" w:rsidRDefault="001963E2" w:rsidP="00600FB0">
      <w:pPr>
        <w:pStyle w:val="Bezproreda"/>
      </w:pPr>
    </w:p>
    <w:p w:rsidR="001963E2" w:rsidRDefault="001963E2" w:rsidP="00600FB0">
      <w:pPr>
        <w:pStyle w:val="Bezproreda"/>
      </w:pPr>
      <w:r>
        <w:t xml:space="preserve">OBVEZNE BILJEŠKE UZ BILANCU </w:t>
      </w:r>
    </w:p>
    <w:p w:rsidR="001963E2" w:rsidRDefault="001963E2" w:rsidP="001963E2">
      <w:pPr>
        <w:pStyle w:val="Bezproreda"/>
        <w:numPr>
          <w:ilvl w:val="0"/>
          <w:numId w:val="7"/>
        </w:numPr>
      </w:pPr>
      <w:r>
        <w:t xml:space="preserve">Popis ugovornih odnosa i slično koji uz ispunjenje određenih uvjeta, mogu postati obveza ili imovina </w:t>
      </w:r>
    </w:p>
    <w:p w:rsidR="001963E2" w:rsidRDefault="001963E2" w:rsidP="001963E2">
      <w:pPr>
        <w:pStyle w:val="Bezproreda"/>
        <w:ind w:left="360"/>
      </w:pPr>
      <w:r>
        <w:lastRenderedPageBreak/>
        <w:t xml:space="preserve">Škola nema ugovornih odnosa i slično koji uz ispunjenje određenih uvjeta, mogu postati obveza ili imovina </w:t>
      </w:r>
    </w:p>
    <w:p w:rsidR="001963E2" w:rsidRDefault="001963E2" w:rsidP="001963E2">
      <w:pPr>
        <w:pStyle w:val="Bezproreda"/>
        <w:numPr>
          <w:ilvl w:val="0"/>
          <w:numId w:val="7"/>
        </w:numPr>
      </w:pPr>
      <w:r>
        <w:t>Popis sudskih sporova u tijeku</w:t>
      </w:r>
    </w:p>
    <w:p w:rsidR="00CD1FE7" w:rsidRDefault="001C4001" w:rsidP="001C4001">
      <w:pPr>
        <w:pStyle w:val="Bezproreda"/>
        <w:ind w:left="360"/>
      </w:pPr>
      <w:r>
        <w:t>Škola ima jedan sudski spor u tijeku( povećanje osnovice 6 %).</w:t>
      </w:r>
    </w:p>
    <w:p w:rsidR="00CD1FE7" w:rsidRDefault="00CD1FE7" w:rsidP="00CD1FE7">
      <w:pPr>
        <w:pStyle w:val="Bezproreda"/>
        <w:ind w:left="360"/>
      </w:pPr>
    </w:p>
    <w:p w:rsidR="00AC555D" w:rsidRDefault="00AC555D" w:rsidP="00600FB0">
      <w:pPr>
        <w:pStyle w:val="Bezproreda"/>
      </w:pPr>
    </w:p>
    <w:p w:rsidR="001303E5" w:rsidRDefault="00CD1FE7" w:rsidP="00CD1FE7">
      <w:pPr>
        <w:rPr>
          <w:b/>
        </w:rPr>
      </w:pPr>
      <w:r>
        <w:rPr>
          <w:b/>
        </w:rPr>
        <w:t>3.Bilješke uz Izvještaj o rashodima prema funkcijskoj klasifikaciji</w:t>
      </w:r>
    </w:p>
    <w:p w:rsidR="00CD1FE7" w:rsidRDefault="00CD1FE7" w:rsidP="00CD1FE7">
      <w:r w:rsidRPr="00CD1FE7">
        <w:t>Bilješka broj 1-Dodatne usluge u obrazovanju – uključeni su rashodi za prehranu učenika</w:t>
      </w:r>
    </w:p>
    <w:p w:rsidR="00CD1FE7" w:rsidRDefault="00CD1FE7" w:rsidP="00CD1FE7"/>
    <w:p w:rsidR="00CD1FE7" w:rsidRPr="00CD1FE7" w:rsidRDefault="00CD1FE7" w:rsidP="00CD1FE7">
      <w:pPr>
        <w:rPr>
          <w:b/>
        </w:rPr>
      </w:pPr>
      <w:r w:rsidRPr="00CD1FE7">
        <w:rPr>
          <w:b/>
        </w:rPr>
        <w:t>4.Bilješke uz Izvještaj o promijeni u vrijednosti i obujmu imovine</w:t>
      </w:r>
    </w:p>
    <w:p w:rsidR="00CD1FE7" w:rsidRDefault="00F84DB9" w:rsidP="00CD1FE7">
      <w:r>
        <w:t xml:space="preserve">Bilješka broj 1- Neproizvedena dugotrajna imovina-  odnosi se na povećanje vrijednosti  sanirane zgrade od </w:t>
      </w:r>
      <w:r w:rsidR="004E47EB">
        <w:t xml:space="preserve">strane </w:t>
      </w:r>
      <w:r>
        <w:t>KZŽ</w:t>
      </w:r>
    </w:p>
    <w:p w:rsidR="003D6782" w:rsidRPr="002F206B" w:rsidRDefault="003D6782" w:rsidP="00CD1FE7">
      <w:pPr>
        <w:rPr>
          <w:b/>
        </w:rPr>
      </w:pPr>
      <w:r w:rsidRPr="002F206B">
        <w:rPr>
          <w:b/>
        </w:rPr>
        <w:t>5.Bilješke uz Izvještaj o obvezama</w:t>
      </w:r>
    </w:p>
    <w:p w:rsidR="001303E5" w:rsidRDefault="001303E5" w:rsidP="003A5EBF">
      <w:pPr>
        <w:pStyle w:val="Bezproreda"/>
      </w:pPr>
      <w:r>
        <w:t xml:space="preserve">Bilješka broj  </w:t>
      </w:r>
      <w:r w:rsidR="003D6782">
        <w:t>1</w:t>
      </w:r>
      <w:r w:rsidR="00B56E26">
        <w:t xml:space="preserve"> </w:t>
      </w:r>
      <w:r w:rsidR="00EC433C">
        <w:t>-AOP 0</w:t>
      </w:r>
      <w:r w:rsidR="000C4545">
        <w:t>01</w:t>
      </w:r>
      <w:r w:rsidR="00EC433C">
        <w:t xml:space="preserve"> S</w:t>
      </w:r>
      <w:r>
        <w:t>tanje obveza</w:t>
      </w:r>
      <w:r w:rsidR="005C272E">
        <w:t xml:space="preserve"> 1.siječnja</w:t>
      </w:r>
      <w:r w:rsidR="00D767A8">
        <w:t>-</w:t>
      </w:r>
      <w:r w:rsidR="005C272E">
        <w:t xml:space="preserve">  </w:t>
      </w:r>
      <w:r w:rsidR="00F84DB9">
        <w:t>580.612</w:t>
      </w:r>
      <w:r w:rsidR="005C272E">
        <w:t xml:space="preserve"> odnosi se na</w:t>
      </w:r>
      <w:r w:rsidR="00F84DB9">
        <w:t xml:space="preserve"> plaću i naknade za prosinac 2020</w:t>
      </w:r>
      <w:r w:rsidR="005C272E">
        <w:t>. te na re</w:t>
      </w:r>
      <w:r w:rsidR="00F84DB9">
        <w:t>žijske troškove iz prosinca 2020</w:t>
      </w:r>
      <w:r w:rsidR="005C272E">
        <w:t xml:space="preserve">. za koje su računi zaprimljeni </w:t>
      </w:r>
      <w:r w:rsidR="005B512B">
        <w:t xml:space="preserve">i podmireni </w:t>
      </w:r>
      <w:r w:rsidR="00F84DB9">
        <w:t>u siječnju 2021</w:t>
      </w:r>
      <w:r w:rsidR="005C272E">
        <w:t xml:space="preserve">. </w:t>
      </w:r>
    </w:p>
    <w:p w:rsidR="00275D3A" w:rsidRDefault="001303E5" w:rsidP="00EF2CE5">
      <w:pPr>
        <w:pStyle w:val="Bezproreda"/>
      </w:pPr>
      <w:r>
        <w:t xml:space="preserve">Bilješka broj </w:t>
      </w:r>
      <w:r w:rsidR="003D6782">
        <w:t>2</w:t>
      </w:r>
      <w:r>
        <w:t xml:space="preserve">–AOP </w:t>
      </w:r>
      <w:r w:rsidR="00F84DB9">
        <w:t>038</w:t>
      </w:r>
      <w:r w:rsidR="00D767A8">
        <w:t>-</w:t>
      </w:r>
      <w:r>
        <w:t xml:space="preserve"> Stanje </w:t>
      </w:r>
      <w:r w:rsidR="00D56B19">
        <w:t>obveza na kraju izvješ</w:t>
      </w:r>
      <w:r w:rsidR="002C59C5">
        <w:t>ta</w:t>
      </w:r>
      <w:r w:rsidR="00F84DB9">
        <w:t>jnog razdoblja iznosi ukupno 659.701</w:t>
      </w:r>
      <w:r w:rsidR="00D56B19">
        <w:t xml:space="preserve"> kuna, od čega su nedospjele obveze</w:t>
      </w:r>
      <w:r w:rsidR="00F84DB9">
        <w:t xml:space="preserve"> 5</w:t>
      </w:r>
      <w:r w:rsidR="00346DC6">
        <w:t>65</w:t>
      </w:r>
      <w:r w:rsidR="00D71BB9">
        <w:t>.</w:t>
      </w:r>
      <w:r w:rsidR="00346DC6">
        <w:t>721</w:t>
      </w:r>
      <w:r w:rsidR="00D56B19">
        <w:t xml:space="preserve"> </w:t>
      </w:r>
      <w:r w:rsidR="00D767A8">
        <w:t xml:space="preserve"> kuna </w:t>
      </w:r>
      <w:r w:rsidR="00D56B19">
        <w:t xml:space="preserve">za </w:t>
      </w:r>
      <w:r w:rsidR="003C574A">
        <w:t>rashode za zaposlene</w:t>
      </w:r>
      <w:r w:rsidR="00D71BB9">
        <w:t>,</w:t>
      </w:r>
      <w:r w:rsidR="00D56B19">
        <w:t xml:space="preserve"> </w:t>
      </w:r>
      <w:r w:rsidR="00346DC6">
        <w:t>68</w:t>
      </w:r>
      <w:r w:rsidR="00F84DB9">
        <w:t>.</w:t>
      </w:r>
      <w:r w:rsidR="00346DC6">
        <w:t>825</w:t>
      </w:r>
      <w:r w:rsidR="00D71BB9">
        <w:t xml:space="preserve"> kn za </w:t>
      </w:r>
      <w:r w:rsidR="00D56B19">
        <w:t>materijalne rashode poslovanja</w:t>
      </w:r>
      <w:r w:rsidR="00B10F7D">
        <w:t>,</w:t>
      </w:r>
      <w:r w:rsidR="00F84DB9">
        <w:t xml:space="preserve"> 2.005</w:t>
      </w:r>
      <w:r w:rsidR="00D71BB9">
        <w:t xml:space="preserve"> kn za financijske rashode</w:t>
      </w:r>
      <w:r w:rsidR="00F84DB9">
        <w:t xml:space="preserve"> i 23.151</w:t>
      </w:r>
      <w:r w:rsidR="00FE224E">
        <w:t xml:space="preserve"> kn za ostale tekuće obveze .</w:t>
      </w:r>
    </w:p>
    <w:p w:rsidR="000C70F9" w:rsidRDefault="000C70F9" w:rsidP="002A72D8"/>
    <w:p w:rsidR="002F206B" w:rsidRDefault="00450783" w:rsidP="002F206B">
      <w:pPr>
        <w:pStyle w:val="Bezproreda"/>
      </w:pPr>
      <w:r>
        <w:t xml:space="preserve">U </w:t>
      </w:r>
      <w:r w:rsidR="002F206B">
        <w:t xml:space="preserve">Krapinskim Toplicama,  </w:t>
      </w:r>
      <w:r w:rsidR="008E1117">
        <w:t>26.01.2022</w:t>
      </w:r>
      <w:r w:rsidR="000C70F9">
        <w:t>.</w:t>
      </w:r>
    </w:p>
    <w:p w:rsidR="002F206B" w:rsidRDefault="002F206B" w:rsidP="002F206B">
      <w:pPr>
        <w:pStyle w:val="Bezproreda"/>
      </w:pPr>
    </w:p>
    <w:p w:rsidR="002F206B" w:rsidRDefault="002F206B" w:rsidP="002F206B">
      <w:pPr>
        <w:pStyle w:val="Bezproreda"/>
      </w:pPr>
      <w:r>
        <w:t>Osoba za kontaktiranje:</w:t>
      </w:r>
    </w:p>
    <w:p w:rsidR="00240005" w:rsidRDefault="000C70F9" w:rsidP="002F206B">
      <w:pPr>
        <w:pStyle w:val="Bezproreda"/>
        <w:jc w:val="right"/>
      </w:pPr>
      <w:r>
        <w:tab/>
      </w:r>
      <w:r w:rsidR="00240005">
        <w:tab/>
      </w:r>
      <w:r w:rsidR="00240005">
        <w:tab/>
      </w:r>
      <w:r w:rsidR="00BB191C">
        <w:t xml:space="preserve">   </w:t>
      </w:r>
      <w:r w:rsidR="00240005">
        <w:tab/>
      </w:r>
      <w:r w:rsidR="00BB191C">
        <w:t xml:space="preserve">                                        </w:t>
      </w:r>
      <w:r w:rsidR="002F206B">
        <w:t xml:space="preserve">                 </w:t>
      </w:r>
      <w:r w:rsidR="00240005">
        <w:t>Odgovorna osoba:</w:t>
      </w:r>
    </w:p>
    <w:p w:rsidR="00240005" w:rsidRDefault="00FE224E" w:rsidP="00240005">
      <w:pPr>
        <w:pStyle w:val="Bezproreda"/>
      </w:pPr>
      <w:r>
        <w:t>Marija Hruš</w:t>
      </w:r>
      <w:r w:rsidR="00240005">
        <w:tab/>
      </w:r>
      <w:r w:rsidR="00240005">
        <w:tab/>
      </w:r>
      <w:r w:rsidR="00240005">
        <w:tab/>
      </w:r>
      <w:r w:rsidR="00BB191C">
        <w:t xml:space="preserve">                                     </w:t>
      </w:r>
      <w:r w:rsidR="002F206B">
        <w:t xml:space="preserve">                                                    </w:t>
      </w:r>
      <w:r>
        <w:t>SAMSON ŠTIBOHAR</w:t>
      </w:r>
    </w:p>
    <w:p w:rsidR="000C70F9" w:rsidRDefault="00FE224E" w:rsidP="002A72D8">
      <w:r>
        <w:t>Telefon: 049/232-160</w:t>
      </w:r>
      <w:r w:rsidR="000C70F9">
        <w:tab/>
      </w:r>
      <w:r w:rsidR="000C70F9">
        <w:tab/>
      </w:r>
      <w:r w:rsidR="000C70F9">
        <w:tab/>
      </w:r>
      <w:r w:rsidR="000C70F9">
        <w:tab/>
      </w:r>
    </w:p>
    <w:p w:rsidR="000C70F9" w:rsidRDefault="000C70F9" w:rsidP="002400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70F9" w:rsidRDefault="000C70F9" w:rsidP="002A72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7FF7" w:rsidRDefault="00E07FF7" w:rsidP="002A72D8"/>
    <w:sectPr w:rsidR="00E07F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65" w:rsidRDefault="00197965" w:rsidP="00DF7FCA">
      <w:pPr>
        <w:spacing w:after="0" w:line="240" w:lineRule="auto"/>
      </w:pPr>
      <w:r>
        <w:separator/>
      </w:r>
    </w:p>
  </w:endnote>
  <w:endnote w:type="continuationSeparator" w:id="0">
    <w:p w:rsidR="00197965" w:rsidRDefault="00197965" w:rsidP="00D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954009"/>
      <w:docPartObj>
        <w:docPartGallery w:val="Page Numbers (Bottom of Page)"/>
        <w:docPartUnique/>
      </w:docPartObj>
    </w:sdtPr>
    <w:sdtEndPr/>
    <w:sdtContent>
      <w:p w:rsidR="00DF7FCA" w:rsidRDefault="00DF7FCA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CA" w:rsidRDefault="00DF7FC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C2725" w:rsidRPr="006C2725">
                                <w:rPr>
                                  <w:noProof/>
                                  <w:color w:val="C0504D" w:themeColor="accent2"/>
                                </w:rPr>
                                <w:t>4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DF7FCA" w:rsidRDefault="00DF7FC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C2725" w:rsidRPr="006C2725">
                          <w:rPr>
                            <w:noProof/>
                            <w:color w:val="C0504D" w:themeColor="accent2"/>
                          </w:rPr>
                          <w:t>4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65" w:rsidRDefault="00197965" w:rsidP="00DF7FCA">
      <w:pPr>
        <w:spacing w:after="0" w:line="240" w:lineRule="auto"/>
      </w:pPr>
      <w:r>
        <w:separator/>
      </w:r>
    </w:p>
  </w:footnote>
  <w:footnote w:type="continuationSeparator" w:id="0">
    <w:p w:rsidR="00197965" w:rsidRDefault="00197965" w:rsidP="00DF7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529"/>
    <w:multiLevelType w:val="hybridMultilevel"/>
    <w:tmpl w:val="1780D3B0"/>
    <w:lvl w:ilvl="0" w:tplc="CDD8680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F0C51"/>
    <w:multiLevelType w:val="hybridMultilevel"/>
    <w:tmpl w:val="1D7ED8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3464A"/>
    <w:multiLevelType w:val="hybridMultilevel"/>
    <w:tmpl w:val="6B16C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B3729"/>
    <w:multiLevelType w:val="hybridMultilevel"/>
    <w:tmpl w:val="8094196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41392"/>
    <w:multiLevelType w:val="hybridMultilevel"/>
    <w:tmpl w:val="6BB22C04"/>
    <w:lvl w:ilvl="0" w:tplc="A7A6120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78C4D39"/>
    <w:multiLevelType w:val="hybridMultilevel"/>
    <w:tmpl w:val="A03A710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3F4D9F"/>
    <w:multiLevelType w:val="hybridMultilevel"/>
    <w:tmpl w:val="72882B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D0D2A"/>
    <w:multiLevelType w:val="hybridMultilevel"/>
    <w:tmpl w:val="1F94F3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A4894"/>
    <w:multiLevelType w:val="hybridMultilevel"/>
    <w:tmpl w:val="A05C7010"/>
    <w:lvl w:ilvl="0" w:tplc="4F8E8E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827A3"/>
    <w:multiLevelType w:val="hybridMultilevel"/>
    <w:tmpl w:val="BB16F1EA"/>
    <w:lvl w:ilvl="0" w:tplc="9D4A9B14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CF"/>
    <w:rsid w:val="00030660"/>
    <w:rsid w:val="000312C3"/>
    <w:rsid w:val="00037900"/>
    <w:rsid w:val="000414B3"/>
    <w:rsid w:val="00047108"/>
    <w:rsid w:val="00070EE3"/>
    <w:rsid w:val="00077062"/>
    <w:rsid w:val="000772B7"/>
    <w:rsid w:val="000844DD"/>
    <w:rsid w:val="000A0914"/>
    <w:rsid w:val="000B21D3"/>
    <w:rsid w:val="000B46D0"/>
    <w:rsid w:val="000B6E3D"/>
    <w:rsid w:val="000C4545"/>
    <w:rsid w:val="000C70F9"/>
    <w:rsid w:val="000D1580"/>
    <w:rsid w:val="000D1CA9"/>
    <w:rsid w:val="000E5CF7"/>
    <w:rsid w:val="000F20AD"/>
    <w:rsid w:val="000F6F24"/>
    <w:rsid w:val="001115E9"/>
    <w:rsid w:val="001303E5"/>
    <w:rsid w:val="00131DDD"/>
    <w:rsid w:val="00132A76"/>
    <w:rsid w:val="001559D7"/>
    <w:rsid w:val="00170A86"/>
    <w:rsid w:val="00172AB3"/>
    <w:rsid w:val="001778F8"/>
    <w:rsid w:val="001835D8"/>
    <w:rsid w:val="00187EFF"/>
    <w:rsid w:val="001963E2"/>
    <w:rsid w:val="00197965"/>
    <w:rsid w:val="001B4C29"/>
    <w:rsid w:val="001C15DD"/>
    <w:rsid w:val="001C4001"/>
    <w:rsid w:val="0020122D"/>
    <w:rsid w:val="00204D13"/>
    <w:rsid w:val="002148D4"/>
    <w:rsid w:val="00234337"/>
    <w:rsid w:val="00240005"/>
    <w:rsid w:val="00256BD8"/>
    <w:rsid w:val="00264662"/>
    <w:rsid w:val="00272E09"/>
    <w:rsid w:val="00275D3A"/>
    <w:rsid w:val="00291581"/>
    <w:rsid w:val="002A39DC"/>
    <w:rsid w:val="002A5236"/>
    <w:rsid w:val="002A72D8"/>
    <w:rsid w:val="002B0E50"/>
    <w:rsid w:val="002C59C5"/>
    <w:rsid w:val="002E0F71"/>
    <w:rsid w:val="002E4585"/>
    <w:rsid w:val="002F0232"/>
    <w:rsid w:val="002F206B"/>
    <w:rsid w:val="0030153D"/>
    <w:rsid w:val="0033050A"/>
    <w:rsid w:val="003333EC"/>
    <w:rsid w:val="00346DC6"/>
    <w:rsid w:val="003841AF"/>
    <w:rsid w:val="00391409"/>
    <w:rsid w:val="00394BC9"/>
    <w:rsid w:val="003A5EBF"/>
    <w:rsid w:val="003C574A"/>
    <w:rsid w:val="003D1783"/>
    <w:rsid w:val="003D6782"/>
    <w:rsid w:val="003D7483"/>
    <w:rsid w:val="003E116F"/>
    <w:rsid w:val="003E5A0A"/>
    <w:rsid w:val="003F3251"/>
    <w:rsid w:val="003F4BA5"/>
    <w:rsid w:val="0041661C"/>
    <w:rsid w:val="00424578"/>
    <w:rsid w:val="00425241"/>
    <w:rsid w:val="00447088"/>
    <w:rsid w:val="00450783"/>
    <w:rsid w:val="0047662C"/>
    <w:rsid w:val="0048221B"/>
    <w:rsid w:val="00496A29"/>
    <w:rsid w:val="004C4391"/>
    <w:rsid w:val="004D395E"/>
    <w:rsid w:val="004D7664"/>
    <w:rsid w:val="004E318B"/>
    <w:rsid w:val="004E47EB"/>
    <w:rsid w:val="004E6BF5"/>
    <w:rsid w:val="004E746A"/>
    <w:rsid w:val="0050233D"/>
    <w:rsid w:val="00520F98"/>
    <w:rsid w:val="005261CB"/>
    <w:rsid w:val="00535265"/>
    <w:rsid w:val="00541C44"/>
    <w:rsid w:val="005612D6"/>
    <w:rsid w:val="00592E20"/>
    <w:rsid w:val="0059763A"/>
    <w:rsid w:val="005A3A88"/>
    <w:rsid w:val="005A5C3C"/>
    <w:rsid w:val="005B03D9"/>
    <w:rsid w:val="005B512B"/>
    <w:rsid w:val="005C1061"/>
    <w:rsid w:val="005C272E"/>
    <w:rsid w:val="005C3AE4"/>
    <w:rsid w:val="005C74BF"/>
    <w:rsid w:val="005E5FB2"/>
    <w:rsid w:val="005F1B3E"/>
    <w:rsid w:val="00600FB0"/>
    <w:rsid w:val="00607C95"/>
    <w:rsid w:val="0061688B"/>
    <w:rsid w:val="00636F1F"/>
    <w:rsid w:val="0065261B"/>
    <w:rsid w:val="00655857"/>
    <w:rsid w:val="00697675"/>
    <w:rsid w:val="006A58B5"/>
    <w:rsid w:val="006C2725"/>
    <w:rsid w:val="006C708C"/>
    <w:rsid w:val="006E58A5"/>
    <w:rsid w:val="006F038C"/>
    <w:rsid w:val="0072191D"/>
    <w:rsid w:val="007233CB"/>
    <w:rsid w:val="00731B69"/>
    <w:rsid w:val="007414B0"/>
    <w:rsid w:val="00754619"/>
    <w:rsid w:val="00783DA3"/>
    <w:rsid w:val="007A18E1"/>
    <w:rsid w:val="007A265B"/>
    <w:rsid w:val="007A578B"/>
    <w:rsid w:val="007C18C1"/>
    <w:rsid w:val="007D1D7C"/>
    <w:rsid w:val="007E0932"/>
    <w:rsid w:val="007E1448"/>
    <w:rsid w:val="007E3BE6"/>
    <w:rsid w:val="007F107F"/>
    <w:rsid w:val="00841E67"/>
    <w:rsid w:val="0085248B"/>
    <w:rsid w:val="00857CD1"/>
    <w:rsid w:val="00860251"/>
    <w:rsid w:val="00870533"/>
    <w:rsid w:val="00874AB5"/>
    <w:rsid w:val="008E1117"/>
    <w:rsid w:val="008E2000"/>
    <w:rsid w:val="008E6578"/>
    <w:rsid w:val="008E7FA0"/>
    <w:rsid w:val="008F7295"/>
    <w:rsid w:val="0090009D"/>
    <w:rsid w:val="0090779A"/>
    <w:rsid w:val="00912286"/>
    <w:rsid w:val="009139C7"/>
    <w:rsid w:val="009219E2"/>
    <w:rsid w:val="009224D6"/>
    <w:rsid w:val="0093286B"/>
    <w:rsid w:val="009710D7"/>
    <w:rsid w:val="009879D8"/>
    <w:rsid w:val="009915D5"/>
    <w:rsid w:val="00991749"/>
    <w:rsid w:val="0099192A"/>
    <w:rsid w:val="00995F27"/>
    <w:rsid w:val="009A3751"/>
    <w:rsid w:val="009A6D8E"/>
    <w:rsid w:val="009D08C4"/>
    <w:rsid w:val="009D2254"/>
    <w:rsid w:val="009E5367"/>
    <w:rsid w:val="009E5DCA"/>
    <w:rsid w:val="009E63B8"/>
    <w:rsid w:val="009E755C"/>
    <w:rsid w:val="00A17DC9"/>
    <w:rsid w:val="00A22E34"/>
    <w:rsid w:val="00A27AEE"/>
    <w:rsid w:val="00A3039C"/>
    <w:rsid w:val="00A479B6"/>
    <w:rsid w:val="00A51C15"/>
    <w:rsid w:val="00A7401D"/>
    <w:rsid w:val="00A85C44"/>
    <w:rsid w:val="00A86CE2"/>
    <w:rsid w:val="00A96139"/>
    <w:rsid w:val="00A968C5"/>
    <w:rsid w:val="00AC06EF"/>
    <w:rsid w:val="00AC555D"/>
    <w:rsid w:val="00AF0812"/>
    <w:rsid w:val="00B10F7D"/>
    <w:rsid w:val="00B27E6C"/>
    <w:rsid w:val="00B311FB"/>
    <w:rsid w:val="00B51C72"/>
    <w:rsid w:val="00B544C6"/>
    <w:rsid w:val="00B56E14"/>
    <w:rsid w:val="00B56E26"/>
    <w:rsid w:val="00B57364"/>
    <w:rsid w:val="00B857D4"/>
    <w:rsid w:val="00B9696A"/>
    <w:rsid w:val="00BA15CD"/>
    <w:rsid w:val="00BB191C"/>
    <w:rsid w:val="00BC1C29"/>
    <w:rsid w:val="00BC53CD"/>
    <w:rsid w:val="00BE7B08"/>
    <w:rsid w:val="00C00A81"/>
    <w:rsid w:val="00C07794"/>
    <w:rsid w:val="00C33837"/>
    <w:rsid w:val="00C66BF3"/>
    <w:rsid w:val="00C702DF"/>
    <w:rsid w:val="00C82757"/>
    <w:rsid w:val="00CB5E70"/>
    <w:rsid w:val="00CD1FE7"/>
    <w:rsid w:val="00CF2F96"/>
    <w:rsid w:val="00D0066A"/>
    <w:rsid w:val="00D17E1E"/>
    <w:rsid w:val="00D2117B"/>
    <w:rsid w:val="00D22925"/>
    <w:rsid w:val="00D45936"/>
    <w:rsid w:val="00D56B19"/>
    <w:rsid w:val="00D71BB9"/>
    <w:rsid w:val="00D723B9"/>
    <w:rsid w:val="00D74F0C"/>
    <w:rsid w:val="00D767A8"/>
    <w:rsid w:val="00D86A1C"/>
    <w:rsid w:val="00DA1EEC"/>
    <w:rsid w:val="00DA61BE"/>
    <w:rsid w:val="00DA6F99"/>
    <w:rsid w:val="00DB5651"/>
    <w:rsid w:val="00DC1A71"/>
    <w:rsid w:val="00DD386E"/>
    <w:rsid w:val="00DD4AF7"/>
    <w:rsid w:val="00DD7990"/>
    <w:rsid w:val="00DF11AC"/>
    <w:rsid w:val="00DF1509"/>
    <w:rsid w:val="00DF1733"/>
    <w:rsid w:val="00DF7FCA"/>
    <w:rsid w:val="00E04907"/>
    <w:rsid w:val="00E07FF7"/>
    <w:rsid w:val="00E22188"/>
    <w:rsid w:val="00E33676"/>
    <w:rsid w:val="00E44E73"/>
    <w:rsid w:val="00E529CF"/>
    <w:rsid w:val="00E53144"/>
    <w:rsid w:val="00E53AD4"/>
    <w:rsid w:val="00E54EC0"/>
    <w:rsid w:val="00E64D41"/>
    <w:rsid w:val="00E75A18"/>
    <w:rsid w:val="00E76695"/>
    <w:rsid w:val="00E805AD"/>
    <w:rsid w:val="00EB3B80"/>
    <w:rsid w:val="00EC433C"/>
    <w:rsid w:val="00EC4C9C"/>
    <w:rsid w:val="00ED2DCA"/>
    <w:rsid w:val="00EF2CE5"/>
    <w:rsid w:val="00EF601A"/>
    <w:rsid w:val="00EF635F"/>
    <w:rsid w:val="00F06036"/>
    <w:rsid w:val="00F06302"/>
    <w:rsid w:val="00F068CF"/>
    <w:rsid w:val="00F21CDA"/>
    <w:rsid w:val="00F23560"/>
    <w:rsid w:val="00F30C6A"/>
    <w:rsid w:val="00F43ED1"/>
    <w:rsid w:val="00F618A9"/>
    <w:rsid w:val="00F6690D"/>
    <w:rsid w:val="00F72E00"/>
    <w:rsid w:val="00F75246"/>
    <w:rsid w:val="00F84632"/>
    <w:rsid w:val="00F84DB9"/>
    <w:rsid w:val="00F87FEB"/>
    <w:rsid w:val="00FB5181"/>
    <w:rsid w:val="00FE0886"/>
    <w:rsid w:val="00FE224E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58B5"/>
    <w:pPr>
      <w:ind w:left="720"/>
      <w:contextualSpacing/>
    </w:pPr>
  </w:style>
  <w:style w:type="paragraph" w:styleId="Bezproreda">
    <w:name w:val="No Spacing"/>
    <w:uiPriority w:val="1"/>
    <w:qFormat/>
    <w:rsid w:val="00874AB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433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F7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7FCA"/>
  </w:style>
  <w:style w:type="paragraph" w:styleId="Podnoje">
    <w:name w:val="footer"/>
    <w:basedOn w:val="Normal"/>
    <w:link w:val="PodnojeChar"/>
    <w:uiPriority w:val="99"/>
    <w:unhideWhenUsed/>
    <w:rsid w:val="00DF7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7FCA"/>
  </w:style>
  <w:style w:type="table" w:styleId="Reetkatablice">
    <w:name w:val="Table Grid"/>
    <w:basedOn w:val="Obinatablica"/>
    <w:uiPriority w:val="59"/>
    <w:rsid w:val="00857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58B5"/>
    <w:pPr>
      <w:ind w:left="720"/>
      <w:contextualSpacing/>
    </w:pPr>
  </w:style>
  <w:style w:type="paragraph" w:styleId="Bezproreda">
    <w:name w:val="No Spacing"/>
    <w:uiPriority w:val="1"/>
    <w:qFormat/>
    <w:rsid w:val="00874AB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433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F7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7FCA"/>
  </w:style>
  <w:style w:type="paragraph" w:styleId="Podnoje">
    <w:name w:val="footer"/>
    <w:basedOn w:val="Normal"/>
    <w:link w:val="PodnojeChar"/>
    <w:uiPriority w:val="99"/>
    <w:unhideWhenUsed/>
    <w:rsid w:val="00DF7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7FCA"/>
  </w:style>
  <w:style w:type="table" w:styleId="Reetkatablice">
    <w:name w:val="Table Grid"/>
    <w:basedOn w:val="Obinatablica"/>
    <w:uiPriority w:val="59"/>
    <w:rsid w:val="00857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5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6A1DB-4616-4C7E-9AE8-B942C0DB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</cp:lastModifiedBy>
  <cp:revision>2</cp:revision>
  <cp:lastPrinted>2018-01-30T14:47:00Z</cp:lastPrinted>
  <dcterms:created xsi:type="dcterms:W3CDTF">2022-01-25T12:02:00Z</dcterms:created>
  <dcterms:modified xsi:type="dcterms:W3CDTF">2022-01-25T12:02:00Z</dcterms:modified>
</cp:coreProperties>
</file>